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511/09 - 123/2011 vom 15. Februar 2011</w:t>
      </w:r>
    </w:p>
    <w:p>
      <w:r>
        <w:t>VD Tribunal cantonal, 2011-02-15, FR</w:t>
      </w:r>
    </w:p>
    <w:p>
      <w:r>
        <w:rPr>
          <w:b/>
        </w:rPr>
        <w:t xml:space="preserve">Quelle: </w:t>
      </w:r>
      <w:r>
        <w:t>https://mcp.opencaselaw.ch/entscheid/vd_findinfo_AI_511_09_-_123_2011</w:t>
      </w:r>
    </w:p>
    <w:p>
      <w:r>
        <w:t>FR: VD_FINDINFO AI 511/09 - 123/2011 du 15 février 2011</w:t>
      </w:r>
    </w:p>
    <w:p>
      <w:r>
        <w:t>IT: VD_FINDINFO AI 511/09 - 123/2011 del 15 febbraio 2011</w:t>
      </w:r>
    </w:p>
    <w:p>
      <w:pPr>
        <w:pStyle w:val="Heading2"/>
      </w:pPr>
      <w:r>
        <w:t>Regeste</w:t>
      </w:r>
    </w:p>
    <w:p>
      <w:r>
        <w:t>RENTE D'INVALIDITÉ, ÉVALUATION DE L'INVALIDITÉ, INCAPACITÉ DE TRAVAIL, MESURE D'ORDRE PROFESSIONNEL | 28 LAI, 4 al. 1 LAI, 16 LPGA, 7 LPGA, 8 LPGA</w:t>
      </w:r>
    </w:p>
    <w:p>
      <w:pPr>
        <w:pStyle w:val="Heading2"/>
      </w:pPr>
      <w:r>
        <w:t>Erwägungen</w:t>
      </w:r>
    </w:p>
    <w:p>
      <w:r>
        <w:rPr>
          <w:b/>
        </w:rPr>
        <w:t>E. 6</w:t>
      </w:r>
    </w:p>
    <w:p>
      <w:r>
        <w:t>Le recourant reproche à l'OAI d'être passé directement à l'approche théorique de sa capacité de travail. Ainsi qu'il ressort de ce qui précède (cf. consid. 5b supra), la capacité de travail exigible du recourant est de 90% dans une activité adaptée, soit une activité simple et répétitive dans le secteur privé, telle que retenue par l'office intimé pour le calcul du degré d'invalidité. Le recourant présente dès lors, même sans mesure d'ordre professionnel, une capacité résiduelle de gain excluant le droit à la rente. L'OAI pouvait donc nier le droit à la rente même si aucune mesure d'ordre professionnel n'avait été allouée. Au demeurant, le recourant ne conclut pas à l'octroi d'une telle mesure dans son recours du 27 octobre 2009, de sorte que cette question n'est pas litigieuse. Partant, il ne peut être reproché à l'office intimé d'avoir procédé à une approche théorique de la capacité de travail de l'assuré.</w:t>
      </w:r>
    </w:p>
    <w:p>
      <w:r>
        <w:rPr>
          <w:b/>
        </w:rPr>
        <w:t>E. 7</w:t>
      </w:r>
    </w:p>
    <w:p>
      <w:r>
        <w:t>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al.1bis LAI). En l'espèce, compte tenu de l'ampleur de la procédure, les frais de justice doivent être arrêtés à 250 fr. et être mis à la charge du recourant, qui succombe (art. 49 LPA-VD). Il n'y a pas lieu d'allouer de dépens, puisque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