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50/09 - 103/2011 vom 24. Februar 2011</w:t>
      </w:r>
    </w:p>
    <w:p>
      <w:r>
        <w:t>VD Tribunal cantonal, 2011-02-24, FR</w:t>
      </w:r>
    </w:p>
    <w:p>
      <w:r>
        <w:rPr>
          <w:b/>
        </w:rPr>
        <w:t xml:space="preserve">Quelle: </w:t>
      </w:r>
      <w:r>
        <w:t>https://mcp.opencaselaw.ch/entscheid/vd_findinfo_AI_50_09_-_103_2011</w:t>
      </w:r>
    </w:p>
    <w:p>
      <w:r>
        <w:t>FR: VD_FINDINFO AI 50/09 - 103/2011 du 24 février 2011</w:t>
      </w:r>
    </w:p>
    <w:p>
      <w:r>
        <w:t>IT: VD_FINDINFO AI 50/09 - 103/2011 del 24 febbraio 2011</w:t>
      </w:r>
    </w:p>
    <w:p>
      <w:pPr>
        <w:pStyle w:val="Heading2"/>
      </w:pPr>
      <w:r>
        <w:t>Regeste</w:t>
      </w:r>
    </w:p>
    <w:p>
      <w:r>
        <w:t>DEGRÉ DE L'INVALIDITÉ, PRESTATION D'ASSURANCE{AI}, FORCE PROBANTE, EXPERTISE | 28 al. 1 let. b LAI, 16 LPGA</w:t>
      </w:r>
    </w:p>
    <w:p>
      <w:pPr>
        <w:pStyle w:val="Heading2"/>
      </w:pPr>
      <w:r>
        <w:t>Erwägungen</w:t>
      </w:r>
    </w:p>
    <w:p>
      <w:r>
        <w:rPr>
          <w:b/>
        </w:rPr>
        <w:t>E. 1</w:t>
      </w:r>
    </w:p>
    <w:p>
      <w:r>
        <w:t>LPGA). La Cour des assurances sociales du Tribunal cantonal est compétente pour statuer (art. 93 al. 1 let. a LPA-VD [loi cantonale vaudoise du 28 octobre 2008 sur la procédure administrative; RSV 173.36]). La cause doit être tranchée par la Cour composée de trois magistrats (art. 83c al. 1 LOJV [loi d'organisation judiciaire du 12 décembre 1979; RSV 173.01]). En l'espèce, le recours a été interjeté en temps utile auprès du tribunal compétent. Il est, en outre, recevable en la forme.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 117 V 287, consid. 4, et les références; cf. encore TF 9C_81/2007 du 21 février 2008, consid. 2.4, et 9C_397/2007 du 14 mai 2008, consid. 2.1). En l'espèce, est litigieuse la question du degré d'invalidité de la recourante, celle-ci contestant le degré retenu par l'OAI dans la décision entreprise. S'agissant des rapports médicaux du 7 août 2009 ainsi que des 13 et 20 octobre 2009 – joints au courrier du médecin traitant du 27 novembre 2009 –, sur lesquels la recourante se fonde, ils doivent être écartés. En effet, ces pièces concernant des faits postérieurs à la date à laquelle la décision entreprise a été rendue, ils doivent faire l'objet d'une nouvelle décision.</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i.f.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Pratique VSI 2002 p. 64, consid. 4b, p. 70 s.). Cet abattement résulte de l'exercice par l'administration de son pouvoir d'appréciation, et le juge des assurances sociales ne peut, sans motif pertinent, substituer sa propre appréciation à celle de l'administration (ATF 132 V 393, consid. 3.3; 126 V 75, consid. 6).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L'assuré a droit à une rente s'il a notamment présenté une incapacité de travail (art. 6 LPGA) d'au moins 40% en moyenne durant une année sans interruption notable (art. 28 al. 1 let. b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8C_862/2008 du 19 août 2009, consid. 4.2). Le juge des assurances sociales doit examiner de manière objective tous les moyens de preuve, quelle qu'en soit la provenance, puis décider si les documents à disposition permettent de porter un jugement valable sur le droit litigieux.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Pratique VSI 2001, p. 106, consid. 3b/bb et cc; Frésard/Moser-Szeless, L'assurance-accidents obligatoire, in Schweizerisches Bundesverwaltungsrecht [SBVR], Soziale Sicherheit, 2 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c) J.________, chargée d'un complément d'expertise, a, dans les faits, réalisé une nouvelle expertise. Celle-ci sera préférée à la première ne serait-ce parce qu'elle est plus récente et tient ainsi compte de la situation à jour. Les experts ont pris en compte l'entier des problèmes somatiques et psychiques de l'expertisée. Ils ont établi leurs rapports en tenant compte des avis des praticiens consultés avant eux. Ils ont examiné les critères de Mosimann et motivent leur appréciation de manière convaincante. S'agissant du rapport du CHUV du 9 février 2009, il ne satisfait pas les réquisits légaux. En particulier, il se limite à affirmer que la recourante présenterait une incapacité de travail totale, sans préciser s'il se prononce là uniquement pour l'activité habituelle ou également pour une activité adaptée. Il n'explique par ailleurs pas pour quelle raison les atteintes à la santé de la recourante empêcheraient celle-ci d'exercer une activité lucrative. Ce rapport soutient uniquement que, dans le cas de la recourante, l'on ne peut se baser sur une image radiologique ou sur une IRM pour dire que l'atteinte psoriasique de la recourante serait de faible degré. Cependant, ces médecins n'expliquent pas pour quelle raison un degré plus élevé devrait être retenu. Enfin, à la différence de J.________, ils n'examinent pas la situation de la recourante sous l'angle des critères jurisprudentiels relatifs à la fibromyalgie. Il convient encore de retenir que ces médecins ont vu la recourante après la date à laquelle la décision entreprise a été rendue et qu'ils n'ont dès lors pas une connaissance directe, personnelle et immédiate de la situation médicale de la recourante pour la période antérieure à la date de la décision entreprise. Dans ces circonstances, la seconde expertise de J.________ l'emporte sur le rapport du CHUV. En ce qui concerne l'avis du SMR du 20 août 2008, il ne remplit pas non plus les réquisits légaux, de sorte que sa valeur probante apparaît moindre que celle des expertises de J.________. En ce qui concerne en particulier la seconde expertise de J.________, il estime que les experts auraient retenu que la baisse de rendement serait essentiellement due aux conséquences d'apnées du sommeil. Or, la recourante ne porterait pas son masque CPAP, se privant ainsi du bénéfice d'un tel traitement, qui peut être exigé d'elle. Dans ces circonstances, elle ne ferait pas tout ce que l'on serait en droit d'attendre d'elle pour diminuer son dommage, de sorte que la baisse de rendement, d'un taux de 20%, retenue par les experts de J.________ ne se justifierait pas. Au sens du SMR, seul un taux de 10%, qu'il déduit en soustrayant 20% (apnées du sommeil) au taux de 30% de baisse de rendement retenu par les experts, doit être reconnu. Néanmoins, à la différence de ce que soutient le SMR, il ressort clairement de la seconde expertise de J.________ que la baisse de rendement de 30% est due à la seule atteinte rhumatologique. Sur le plan purement psychiatrique, les limitations sont à leur sens modérées et sans impact supplémentaire sur la capacité de travail. Les premiers experts estiment que la diminution de rendement de 30% qu'ils ont reconnue est en grande partie due à la fatigue résultant de l'existence d'un syndrome d'apnée du sommeil non traitée puisque la recourante ne s'appareille pas la nuit. Les seconds experts constatent aussi que la recourante ne s'équipe pas la nuit mais ils mettent les conséquences de ce comportement en relation avec les limitations d'ordre psychiatrique, limitations qu'ils estiment modérées et sans influence sur la capacité de travail. De surcroît, on ne voit pas quel est le fondement de l'avis des médecins du SMR selon lequel, sur la diminution du rendement de 30%, une part de 20% est due au syndrome d'apnée du sommeil. Au vu de ce qui précède, la seconde expertise de J.________ ne prête pas le flanc à la critique. Il convient dès lors de retenir que la recourante présente une capacité de travail de 70%, compte tenu de la diminution de rendement. d) Dans sa réponse, l'OAI affirme qu'avec une capacité de travail de 70%, le degré d'invalidité de la recourante n'atteint pas le seuil lui permettant d'obtenir une rente. Il convient cependant de constater que dans son calcul, l'OAI omet de tenir compte d'un abattement de 20% qu'il a lui-même retenu dans la décision entreprise. L'OAI n'ayant pas contesté cet abattement, ni invoqué de raisons pertinentes de s'en écarter, il convient d'en tenir compte dans le calcul du degré d'invalidité de la recourante. En l'espèce, il ressort de l'instruction que la recourante a présenté une incapacité de travail dans son activité habituelle à partir du courant du mois d'octobre 2005, de sorte qu'un éventuel droit à la rente pourrait lui être reconnu dès le 1 er novembre 2006 (art. 28 al. 1 let. b LAI). Il ressort encore de l'instruction qu'en 2004, la recourante touchait 1'831 fr. 80, treize fois par année, pour un taux d'activité de 50%. Ce qui correspond à un salaire annuel en 2006 de 48'680 fr. 30 pour une activité à plein temps ([13 x 1'831 fr. 80 x 2] + 1% d'indexation pour 2005 + 1,2% d'indexation pour 2006). Selon l'ESS 2006, le salaire déterminant pour des femmes effectuant des activités simples et répétitives dans le secteur privé est de 4'019 fr. par mois (tableau A1). Pour un horaire hebdomadaire de 41,7, et non de 41,6 comme retenu à tort dans la décision, le salaire annuel en 2006 est de 50'227 fr. 69 pour une activité à plein temps. Afin d'obtenir le revenu d'invalide, il convient encore de tenir compte de la baisse de rendement de 30% et de l'abattement de 20%. Ce qui nous donne un revenu annuel d'invalide en 2006 de 28'155 fr. 51 ([50'227 fr. 69 – 30%] – 20%). La perte de gain s'élève ainsi à 20'524 fr. 80 (48'680 fr. 30 – 28'155 francs 51). Ce qui représente un degré d'invalidité de 42,16% (20'524 fr. 80 : 48'680 francs 30). Conformément à l'art. 28 al. 1 let. b LAI, la recourante a dès lors droit à un quart de rente à partir du 1 er novembre 2006.</w:t>
      </w:r>
    </w:p>
    <w:p>
      <w:r>
        <w:rPr>
          <w:b/>
        </w:rPr>
        <w:t>E. 4</w:t>
      </w:r>
    </w:p>
    <w:p>
      <w:r>
        <w:t>a) Au vu de ce qui précède, le recours doit être admis et la décision entreprise réformée en ce sens que la recourante a droit à un quart de rente de l'assurance-invalidité dès le 1 er novembre 2006.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Obtenant gain de cause, aucun frais de justice ne sera mis à la charge de la recourante (art. 49 al. 1 LPA-VD). La recourante a droit de la part de l'OAI à des dépens, qu'il convient d'arrêter à 1'500 fr. (art. 55 LPA-VD;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