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502/09 - 155/2012 vom 2. Mai 2012</w:t>
      </w:r>
    </w:p>
    <w:p>
      <w:r>
        <w:t>VD Tribunal cantonal, 2012-05-02, FR</w:t>
      </w:r>
    </w:p>
    <w:p>
      <w:r>
        <w:rPr>
          <w:b/>
        </w:rPr>
        <w:t xml:space="preserve">Quelle: </w:t>
      </w:r>
      <w:r>
        <w:t>https://mcp.opencaselaw.ch/entscheid/vd_findinfo_AI_502_09_-_155_2012</w:t>
      </w:r>
    </w:p>
    <w:p>
      <w:r>
        <w:t>FR: VD_FINDINFO AI 502/09 - 155/2012 du 2 mai 2012</w:t>
      </w:r>
    </w:p>
    <w:p>
      <w:r>
        <w:t>IT: VD_FINDINFO AI 502/09 - 155/2012 del 2 maggio 2012</w:t>
      </w:r>
    </w:p>
    <w:p>
      <w:pPr>
        <w:pStyle w:val="Heading2"/>
      </w:pPr>
      <w:r>
        <w:t>Regeste</w:t>
      </w:r>
    </w:p>
    <w:p>
      <w:r>
        <w:t>LOI FÉDÉRALE SUR L'ASSURANCE-INVALIDITÉ, AI{ASSURANCE}, ACCIDENT NON PROFESSIONNEL, AFFECTION DU PIED, ÉVALUATION DE L'ATTEINTE À LA SANTÉ, OBLIGATION DE RÉDUIRE LE DOMMAGE | 28 LAI, 4 LAI</w:t>
      </w:r>
    </w:p>
    <w:p>
      <w:pPr>
        <w:pStyle w:val="Heading2"/>
      </w:pPr>
      <w:r>
        <w:t>Erwägungen</w:t>
      </w:r>
    </w:p>
    <w:p>
      <w:r>
        <w:rPr>
          <w:b/>
        </w:rPr>
        <w:t>E. 2</w:t>
      </w:r>
    </w:p>
    <w:p>
      <w:r>
        <w:t>mai 2012 __________________ Présidence de               M. Métral Juges :              M. Gasser et Mme Feusi, assesseurs Greffière :              Mme Berberat ***** Cause pendante entre : M.________ , à Lausanne, recourant, représenté par Me Michel Dupuis, avocat à Lausanne, et OFFICE DE L'ASSURANCE-INVALIDITE POUR LE CANTON DE VAUD , à Vevey, intimé. _______________ Art.</w:t>
      </w:r>
    </w:p>
    <w:p>
      <w:r>
        <w:rPr>
          <w:b/>
        </w:rPr>
        <w:t>E. 4</w:t>
      </w:r>
    </w:p>
    <w:p>
      <w:r>
        <w:t>a) Il s'ensuit que le recours, mal fondé, doit être rejeté et la décision attaquée confirmée, sans qu'il y ait lieu de procéder aux mesures d'instruction complémentaire requises par le recourant. b)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c) En l'espèce, compte tenu de l'ampleur de la procédure, les frais de justice doivent être arrêtés à 450 fr. et devraient être mis à la charge du recourant, qui succombe (art. 69 al. 1bis LAI; art. 49 al. 1 LPA-VD). Toutefois, dès lors que le recourant est au bénéfice de l'assistance judiciaire, ces frais sont laissés provisoirement à la charge de l'Etat. Il n'y a pas lieu d'allouer de dépens, le recourant n'obtenant pas gain de cause (art. 55 al. 1 LPA-VD; cf. art. 61 let. g LPGA). d) Le recourant a obtenu, au titre de l'assistance judiciaire, la commission d'office d'un avocat en la personne de Me Michel Dupuis à compter du 22 octobre 2009 jusqu'au terme de la présente procédure (art. 118 al. 1 let. c CPC par renvoi de l'art. 18 al. 5 LPA-VD). Celui-ci a produit la liste de ses opérations faisant état de débours par 160 fr. et d'un temps consacré à la défense du recourant de 12 heures. Cette liste des opérations comprend toutefois plusieurs actes qui ne concernaient pas directement la présente procédure, avec notamment la rédaction d'une opposition à une décision de la CNA. Par ailleurs, il convient de prendre en considération le fait que Me Dupuis défendait le recourant dans deux causes connexes et qu'il a perçu 2'048 fr. 40 d'indemnités et de débours pour son activité dans le dossier concernant les prestations de l'assurance-accidents. Dans ces circonstances, un montant de 2'000 fr., débours et TVA compris, ce qui correspond à 10 heures de travail dans la présente procédure (pour un tarif horaire de 180 fr. ; cf. art 2 al. 1 let. b RAJ), constitue une indemnité équitable pour le mandat d'office. La rémunération de l'avocat d'office est provisoirement supportée par le canton, le recourant étant rendu attentif au fait qu'il est tenu d’en rembourser le montant dès qu’il sera en mesure de le faire (art. 123 al. 1 CPC par renvoi de l’art. 18 al. 5 CPC).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