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464/09 - 227/2011 vom 17. Mai 2011</w:t>
      </w:r>
    </w:p>
    <w:p>
      <w:r>
        <w:t>VD Tribunal cantonal, 2011-05-17, FR</w:t>
      </w:r>
    </w:p>
    <w:p>
      <w:r>
        <w:rPr>
          <w:b/>
        </w:rPr>
        <w:t xml:space="preserve">Quelle: </w:t>
      </w:r>
      <w:r>
        <w:t>https://mcp.opencaselaw.ch/entscheid/vd_findinfo_AI_464_09_-_227_2011</w:t>
      </w:r>
    </w:p>
    <w:p>
      <w:r>
        <w:t>FR: VD_FINDINFO AI 464/09 - 227/2011 du 17 mai 2011</w:t>
      </w:r>
    </w:p>
    <w:p>
      <w:r>
        <w:t>IT: VD_FINDINFO AI 464/09 - 227/2011 del 17 maggio 2011</w:t>
      </w:r>
    </w:p>
    <w:p>
      <w:pPr>
        <w:pStyle w:val="Heading2"/>
      </w:pPr>
      <w:r>
        <w:t>Regeste</w:t>
      </w:r>
    </w:p>
    <w:p>
      <w:r>
        <w:t>RENTE D'INVALIDITÉ, INCAPACITÉ DE TRAVAIL, ÉVALUATION DE L'INCAPACITÉ DE TRAVAIL, FORCE PROBANTE, INCAPACITÉ DE GAIN, REVENU DÉTERMINANT, APPRÉCIATION ANTICIPÉE DES PREUVES | 1 LAI, 28 al. 1 LAI, 4 al. 1 LAI, 69 al. 1 let. a LAI, 69 al. 1bis LAI, 16 LPGA, 56 LPGA, 57 LPGA, 6 LPGA, 60 al. 1 LPGA, 61 let. b LPGA, 61 let. g LPGA, 7 al. 1 LPGA, 8 LPGA, 2 al. 1 let. c LPA-VD, 49 al. 1 LPA-VD, 55 al. 1 LPA-VD, 93 al. 1 let. a LPA-VD</w:t>
      </w:r>
    </w:p>
    <w:p>
      <w:pPr>
        <w:pStyle w:val="Heading2"/>
      </w:pPr>
      <w:r>
        <w:t>Erwägungen</w:t>
      </w:r>
    </w:p>
    <w:p>
      <w:r>
        <w:rPr>
          <w:b/>
        </w:rPr>
        <w:t>E. 5</w:t>
      </w:r>
    </w:p>
    <w:p>
      <w:r>
        <w:t>La nouvelle demande déposée le 29 novembre 2006 ne peut être examinée que si le recourant rend plausible que son invalidité ou son impotence s'est modifiée de manière à influencer ses droits (art. 87 al. 3 et 4 RAI). L'administration étant entrée en matière sur cette nouvelle demande, il convient dès lors de vérifier que la modification du degré d'invalidité ou de l'impotence rendue plausible par l'assuré est réellement intervenue, ceci par analogie avec la règle de l'art. 17 LPGA (cf. consid. 3d supra). En l'occurrence, la dernière décision de refus entrée en force est celle rendue le 3 novembre 2004 par l'OAI. A cette occasion, l'administration avait estimé que la situation médicale du recourant n'avait pas évolué depuis le rejet de sa précédente demande par décision du 2 mai 2002. A cette époque, soit en 2001, le recourant souffrait d'un trouble somatoforme douloureux persistant ainsi que d'un syndrome lombo-sciatique gauche sur discopathies débutantes L3-L4 et L4-L5. A lecture des pièces au dossier on constate qu'en 2006 ces affections ont quelque peu évolué, le recourant souffrant alors d'une discopathie dégénérative L3-L4 avec hernie discale médiane à paramédiane gauche L5-S1. Une intervention chirurgicale a par la suite été pratiquée le 12 février 2007 par le Dr E.________. Force est de constater que, sous l'aspect purement médical, l'état de santé du recourant s'était aggravé en 2006 par rapport à 2001 et qu'il présente une incapacité de travail entière dans l'activité d'ouvrier du bâtiment, mais une capacité de travail entière dans une activité adaptée, ce qui aboutit à un degré d'invalidité de 13% qui se révèle être en deçà du minimum légal de 40% ouvrant le droit à une rente AI.</w:t>
      </w:r>
    </w:p>
    <w:p>
      <w:r>
        <w:rPr>
          <w:b/>
        </w:rPr>
        <w:t>E. 6</w:t>
      </w:r>
    </w:p>
    <w:p>
      <w:r>
        <w:t>a) Au vu de ce qui précède, le recourant n'a pas droit à une rente d'invalidité, en raison d'un degré d'invalidité insuffisant. Partant, le recours doit être rejeté et la décision attaquée confirmée. b) Le dossier étant complet, permettant ainsi à la Cour de céans de statuer en pleine connaissance de cause, il n'y a pas lieu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et 9C_440/2008 du 5 août 2008); une telle manière de procéder ne viole pas le droit d'être entendu (ATF 124 V 90 consid. 4b et 122 V 157 consid. 1d; TF 8C_764/2009 du 12 octobre 2009, consid. 3.2 et les références citées). Le rapport médical du 7 janvier 2010 de la Dresse N.________, nouveau médecin traitant du recourant depuis octobre 2009, ne contient aucun élément médical nouveau de nature à rediscuter ou à mettre en doute le bien fondé de l'appréciation médicale du dossier, respectivement à susciter un complément d'instruction sous la forme d'une expertise pluridisciplinaire telle que requise en l'espèce. c)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du recourant (art. 69 al. 1bis LAI; art. 49 al. 1 LPA-VD), sans qu'il se justifie d'allouer des dépens dès lors que l'intéressé n'obtient pas gain de cause (art. 61 let. g LPGA;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