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448/07 - 95/2010 vom 10. März 2010</w:t>
      </w:r>
    </w:p>
    <w:p>
      <w:r>
        <w:t>VD Tribunal cantonal, 2010-03-10, FR</w:t>
      </w:r>
    </w:p>
    <w:p>
      <w:r>
        <w:rPr>
          <w:b/>
        </w:rPr>
        <w:t xml:space="preserve">Quelle: </w:t>
      </w:r>
      <w:r>
        <w:t>https://mcp.opencaselaw.ch/entscheid/vd_findinfo_AI_448_07_-_95_2010</w:t>
      </w:r>
    </w:p>
    <w:p>
      <w:r>
        <w:t>FR: VD_FINDINFO AI 448/07 - 95/2010 du 10 mars 2010</w:t>
      </w:r>
    </w:p>
    <w:p>
      <w:r>
        <w:t>IT: VD_FINDINFO AI 448/07 - 95/2010 del 10 marzo 2010</w:t>
      </w:r>
    </w:p>
    <w:p>
      <w:pPr>
        <w:pStyle w:val="Heading2"/>
      </w:pPr>
      <w:r>
        <w:t>Regeste</w:t>
      </w:r>
    </w:p>
    <w:p>
      <w:r>
        <w:t>EXPERTISE, SUREXPERTISE, TROUBLE SOMATOFORME DOULOUREUX, AFFECTION PSYCHIQUE, MALADIE MENTALE, PRESTATION D'ASSURANCE{AI} | 1 LAI, 28 al. 1 LAI, 4 al. 1 LAI, 69 al. 1bis LAI, 16 LPGA, 17 al. 1 LPGA, 58 LPGA, 60 al. 1 LPGA, 61 let. g LPGA, 7 LPGA, 8 LPGA, 87 al. 2 RAI, 88a al. 2 RAI, 88bis RAI, 117 al. 1 LPA-VD, 2 LPA-VD, 49 al. 1 LPA-VD, 55 LPA-VD, 93 al. 1 let. a LPA-VD, 94 al. 1 let. a LPA-VD</w:t>
      </w:r>
    </w:p>
    <w:p>
      <w:pPr>
        <w:pStyle w:val="Heading2"/>
      </w:pPr>
      <w:r>
        <w:t>Erwägungen</w:t>
      </w:r>
    </w:p>
    <w:p>
      <w:r>
        <w:rPr>
          <w:b/>
        </w:rPr>
        <w:t>E. 3</w:t>
      </w:r>
    </w:p>
    <w:p>
      <w:r>
        <w:t>a) Aux termes de l'art. 8 LPGA, est réputée invalidité l'incapacité de gain totale ou partielle qui est présumée permanente ou de longue durée. L' 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1 LAI, dans sa teneur antérieure au 1 er janvier 2004, l'assuré a droit à un quart de rente s'il est invalide à 40% au moins, à une demi-rente s'il est invalide à 50 % au moins et à une rente entière s'il est invalide à 66⅔% au moins. A partir du 1 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outre,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c) En l'espèce, l'état de santé de la recourante a fait l'objet d'une expertise judiciaire pluridisciplinaire rhumatologique et psychiatrique, qui constitue l'examen à la fois le plus détaillé, le plus complet et le plus récent de la situation médicale de la recourante. Le rapport d'expertise du 12 octobre 2009 contient une anamnèse complète selon les éléments du dossier et selon l'expertisée, y compris les plaintes et données subjectives, tant sur le plan rhumatologique que sur le plan psychiatrique; il relate l'examen clinique rhumatologique, le status psychiatrique, l'examen du dossier radiographique et les examens complémentaires psychiatriques et psychologiques. Ce rapport se fonde ainsi sur des examens complets, prend dûment en considération les plaintes de la personne examinée et a été établi en pleine connaissance du dossier. Il contient une appréciation et une discussion du cas très détaillées sur le plan rhumatologique et sur le plan psychiatrique, décrivant clairement le contexte médical et l'appréciation de la situation médicale. Les points litigieux importants ont fait l'objet d'une étude circonstanciée et les conclusions des experts - qui expliquent de manière claire et convaincante les raisons pour lesquelles ils se rallient ou s'écartent le cas échéant des conclusions des autres experts et spécialistes qui se sont précédemment exprimés sur les atteintes à la santé de la recourante et sur les répercussions de ces atteintes sur sa capacité de travail - sont bien motivées. L'expertise judiciaire remplit ainsi tous les critères posés par la jurisprudence pour qu'une pleine valeur probante puisse lui être accordée, comme l'a admis l'OAI à la suite de l'analyse du rapport d'expertise effectuée par le Dr F.________ du SMR (cf. lettre C.e supra), et il n'existe aucun motif de s'écarter des conclusions des experts judiciaires. d) La recourante elle-même ne paraît à juste titre plus soutenir, après avoir pris connaissance du rapport d'expertise, qu'elle aurait présenté avant la date de la décision litigieuse un taux d'incapacité de travail global (sur le plan rhumatologique et psychiatrique) supérieur au taux d'incapacité de travail de 50% retenu par les experts judiciaires dès 2004 (cf. lettre C.d supra). Les médecins de la PMU, dans leur rapport d'expertise du 13 avril 2004 (cf. lettre A.c supra), retenaient d'ailleurs eux aussi déjà une capacité résiduelle de travail, dans une activité d'employée de bureau, de l'ordre de 50% (cf. lettre A.c supra), tout comme le Dr D.________, médecin traitant, dans ses rapports médicaux du 25 juillet 1998 et du 20 novembre 1999 (cf. lettre A.a supra) et le Dr L.________ dans son rapport médical du 29 juillet 2002 (cf. lettre A.b supra). Les seuls avis médicaux au dossier qui évaluaient l'incapacité de travail de la recourante à 100% dans toute activité émanent des médecins traitants de la recourante, soit des Dresses R.________, psychiatre (rapports médicaux du 23 mai 2006 et du 21 mai 2007; cf. lettres B.b et B.f supra), et C.________, rhumatologue (rapport médical du 12 avril 2006; cf. lettre B.b supra). Outre le fait que ces conclusions doivent être appréciées avec la réserve qu'impose le fait qu'elles émanent de médecins traitants qui sont liés à l'assurée par un mandat thérapeutique et ont ainsi tendance à se prononcer en faveur de leur patiente de par la nature même de ce mandat et de leur position de confidents privilégiés, elles sont nettement moins motivées - en particulier s'agissant de la répercussion des atteintes constatées sur la capacité de travail de la recourante dans une activité adaptée - et reposent sur une analyse nettement moins approfondie et convaincante que celles des experts judiciaires, auxquelles la cour de céans ne peut que se rallier. Il y a ainsi lieu de retenir, sur la base des conclusions parfaitement motivées des experts judiciaires, que la capacité de travail résiduelle de la recourante dans une activité adaptée à ses limitations somatiques, telle celle d'employée de bureau, était de 50% au moment déterminant où la décision attaquée a été rendue. Il n'y a pas lieu d'examiner si, par le passé et en particulier avant 2004, cette capacité de travail a pu être supérieure à 50% (cf. l'avis SMR du Dr F.________ du 9 novembre 2009, lettre C.e supra), puisqu'au regard de la décision attaquée, qui a prononcé la suppression de la demi-rente dès le 1 er décembre 2007, le droit de la recourante à une demi-rente d'invalidité jusqu'au 30 novembre 2007 est de toute façon acquis. e) Les bases de calcul du revenu sans invalidité ainsi que du revenu d'invalide n'étant pas contestées (cf. consid. 2b supra), il y a lieu de constater que la recourante présentait toujours, au moment où la décision litigieuse a été rendue, un taux d'invalidité de 52% lui ouvrant le droit à une demi-rente d'invalidité. La question de savoir si la recourante a subi postérieurement à cette décision une aggravation de son état de santé dans le sens d'une incapacité totale de travail dans toute activité, qui entraînerait une révision du droit à la rente dans le sens de l'octroi d'une rente entière d'invalidité (art. 17 al. 1 LPGA; art. 87 al. 2, 88a al. 2 et 88bis al. 1 RAI), devra faire l'objet d'une nouvelle décision de l'OAI (cf. consid. 2b supra).</w:t>
      </w:r>
    </w:p>
    <w:p>
      <w:r>
        <w:rPr>
          <w:b/>
        </w:rPr>
        <w:t>E. 7</w:t>
      </w:r>
    </w:p>
    <w:p>
      <w:r>
        <w:t>a) En définitive, le recours doit être partiellement admis, comme l'OAI l'a lui-même proposé sur la base des résultats de l'expertise judiciaire (cf. lettre C.e supra), dans la mesure où la demi-rente d'invalidité octroyée à la recourante sur la base d'un degré d'invalidité de 52% doit être maintenue au-delà du 1 er décembre 2007.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250 fr., sera mis à la charge de la recourante, dans la mesure où celle-ci succombe partiellement (art. 49 al. 1 LPA-VD). c) Obtenant partiellement gain de cause, la recourante a droit de la part de l'OAI à des dépens réduits, qu'il convient d'arrêter équitablement à 750 fr. (art. 55 et 56 al. 2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