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43/22 - 197/2023 vom 19. Juli 2023</w:t>
      </w:r>
    </w:p>
    <w:p>
      <w:r>
        <w:t>VD Tribunal cantonal, 2023-07-19, FR</w:t>
      </w:r>
    </w:p>
    <w:p>
      <w:r>
        <w:rPr>
          <w:b/>
        </w:rPr>
        <w:t xml:space="preserve">Quelle: </w:t>
      </w:r>
      <w:r>
        <w:t>https://mcp.opencaselaw.ch/entscheid/vd_findinfo_AI_43_22_-_197_2023___________</w:t>
      </w:r>
    </w:p>
    <w:p>
      <w:r>
        <w:t>FR: VD_FINDINFO AI 43/22 - 197/2023 du 19 juillet 2023</w:t>
      </w:r>
    </w:p>
    <w:p>
      <w:r>
        <w:t>IT: VD_FINDINFO AI 43/22 - 197/2023 del 19 luglio 2023</w:t>
      </w:r>
    </w:p>
    <w:p>
      <w:pPr>
        <w:pStyle w:val="Heading2"/>
      </w:pPr>
      <w:r>
        <w:t>Regeste</w:t>
      </w:r>
    </w:p>
    <w:p>
      <w:r>
        <w:t>AI{ASSURANCE}, RENTE ÉCHELONNÉE, REJET DE LA DEMANDE, DROIT D'ÊTRE ENTENDU, ÉVALUATION DE L'INCAPACITÉ DE TRAVAIL, ÉVALUATION DE L'INVALIDITÉ, TABLE DE RENTES | 28 LAI, 29 al. 1 LAI, 4 al. 1 LAI, 16 LPGA, 17 al. 1 LPGA, 6 LPGA, 7 LPGA, 8 al. 1 LPGA</w:t>
      </w:r>
    </w:p>
    <w:p>
      <w:pPr>
        <w:pStyle w:val="Heading2"/>
      </w:pPr>
      <w:r>
        <w:t>Erwägungen</w:t>
      </w:r>
    </w:p>
    <w:p>
      <w:r>
        <w:rPr>
          <w:b/>
        </w:rPr>
        <w:t>E. 12</w:t>
      </w:r>
    </w:p>
    <w:p>
      <w:r>
        <w:t>septembre 2022 consid. 6 ; 8C_687/2015 du 10 novembre 2015 consid. 5.2). En l’occurrence, le rapport du Dr J.________ du 27 juillet 2021 n’a, comme le démontre la motivation du présent arrêt, pas apporté de constatations déterminantes pour infirmer la position de l’intimé. Le rapport du Dr J.________ n’était dès lors pas indispensable à l’appréciation du cas au sens de l’art. 45 al. 1 LPGA, de sorte que les frais correspondants ne doivent pas être pris en charge par l’intimé. 10. 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