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437/09 - 445/2010 vom 15. November 2010</w:t>
      </w:r>
    </w:p>
    <w:p>
      <w:r>
        <w:t>VD Tribunal cantonal, 2010-11-15, FR</w:t>
      </w:r>
    </w:p>
    <w:p>
      <w:r>
        <w:rPr>
          <w:b/>
        </w:rPr>
        <w:t xml:space="preserve">Quelle: </w:t>
      </w:r>
      <w:r>
        <w:t>https://mcp.opencaselaw.ch/entscheid/vd_findinfo_AI_437_09_-_445_2010</w:t>
      </w:r>
    </w:p>
    <w:p>
      <w:r>
        <w:t>FR: VD_FINDINFO AI 437/09 - 445/2010 du 15 novembre 2010</w:t>
      </w:r>
    </w:p>
    <w:p>
      <w:r>
        <w:t>IT: VD_FINDINFO AI 437/09 - 445/2010 del 15 novembre 2010</w:t>
      </w:r>
    </w:p>
    <w:p>
      <w:pPr>
        <w:pStyle w:val="Heading2"/>
      </w:pPr>
      <w:r>
        <w:t>Regeste</w:t>
      </w:r>
    </w:p>
    <w:p>
      <w:r>
        <w:t>COMPARAISON DES REVENUS, RECONVERSION PROFESSIONNELLE, REVENU D'INVALIDE, REVENU SANS INVALIDITÉ, DEGRÉ DE L'INVALIDITÉ | 17 LAI, 28 LAI, 4 LAI, 16 LPGA</w:t>
      </w:r>
    </w:p>
    <w:p>
      <w:pPr>
        <w:pStyle w:val="Heading2"/>
      </w:pPr>
      <w:r>
        <w:t>Erwägungen</w:t>
      </w:r>
    </w:p>
    <w:p>
      <w:r>
        <w:rPr>
          <w:b/>
        </w:rPr>
        <w:t>E. 4</w:t>
      </w:r>
    </w:p>
    <w:p>
      <w:r>
        <w:t>Ainsi au regard des principes légaux et jurisprudentiels rappelés plus haut, le dossier s'avère complet pour statuer sur la demande de prestations AI, de sorte qu'il n'y a pas lieu d'ordonner un complément d'instruction. La décision attaquée n'est, par conséquent, pas critiquable dans son résultat et doit être confirmée, ce qui conduit au rejet du recours.</w:t>
      </w:r>
    </w:p>
    <w:p>
      <w:r>
        <w:rPr>
          <w:b/>
        </w:rPr>
        <w:t>E. 5</w:t>
      </w:r>
    </w:p>
    <w:p>
      <w:r>
        <w:t>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être mis à la charge du recourant, qui succombe (art. 49 LPA-VD). Il n'y a pas lieu d'allouer de dépens, le recourant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