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436/10 - 154/2012 vom 2. Mai 2012</w:t>
      </w:r>
    </w:p>
    <w:p>
      <w:r>
        <w:t>VD Tribunal cantonal, 2012-05-02, FR</w:t>
      </w:r>
    </w:p>
    <w:p>
      <w:r>
        <w:rPr>
          <w:b/>
        </w:rPr>
        <w:t xml:space="preserve">Quelle: </w:t>
      </w:r>
      <w:r>
        <w:t>https://mcp.opencaselaw.ch/entscheid/vd_findinfo_AI_436_10_-_154_2012</w:t>
      </w:r>
    </w:p>
    <w:p>
      <w:r>
        <w:t>FR: VD_FINDINFO AI 436/10 - 154/2012 du 2 mai 2012</w:t>
      </w:r>
    </w:p>
    <w:p>
      <w:r>
        <w:t>IT: VD_FINDINFO AI 436/10 - 154/2012 del 2 maggio 2012</w:t>
      </w:r>
    </w:p>
    <w:p>
      <w:pPr>
        <w:pStyle w:val="Heading2"/>
      </w:pPr>
      <w:r>
        <w:t>Regeste</w:t>
      </w:r>
    </w:p>
    <w:p>
      <w:r>
        <w:t>RENTE D'INVALIDITÉ, CALCUL, MESURE D'ORDRE PROFESSIONNEL | 28 al. 2 LAI, 4 al. 1 LAI, 8 al. 1 LPGA</w:t>
      </w:r>
    </w:p>
    <w:p>
      <w:pPr>
        <w:pStyle w:val="Heading2"/>
      </w:pPr>
      <w:r>
        <w:t>Erwägungen</w:t>
      </w:r>
    </w:p>
    <w:p>
      <w:r>
        <w:rPr>
          <w:b/>
        </w:rPr>
        <w:t>E. 2</w:t>
      </w:r>
    </w:p>
    <w:p>
      <w:r>
        <w:t>En l'espèce, le droit à une rente d'invalidité et à des mesures d'ordre professionnel est litigieux.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 TF I 554/01 du 19 avril 2002 consid. 2a).</w:t>
      </w:r>
    </w:p>
    <w:p>
      <w:r>
        <w:rPr>
          <w:b/>
        </w:rPr>
        <w:t>E. 3</w:t>
      </w:r>
    </w:p>
    <w:p>
      <w:r>
        <w:t>En l'espèce, le recourant ne conteste pas l'évaluation de l'invalidité sur le plan médical. Sur ce point, l'OAI a procédé à une appréciation consciencieuse des pièces versées au dossier, notamment de l'expertise rhumatologique du 23 mars 2010 du Dr D.________, qui a retenu les diagnostics de tendinopathie du susépineux de l'épaule droite avec arthrose acromioclaviculaire débutante, d'arthrose débutante du coude droit et de cervicodorsolombalgies sur troubles statiques, pour conclure à une capacité de travail complète dès le 1 er juin 2010 dans des activités adaptées. L'OAI pouvait ainsi faire siennes les conclusions du rapport du SMR du 31 mai 2010 établi par le Dr C.________ et retenir que l'assuré présentait une capacité de travail de 100% dans une activité adaptée à ses limitations fonctionnelles. On s'écartera donc de l'avis contraire des Drs T.________ et X.________, dont les constatations objectives ne s'écartent pas de celles retenues par le SMR et dont les conclusions au sujet de la capacité de travail résiduelle restent empreintes des plaintes et avis subjectifs du patient à ses médecins traitants. Il y a lieu de préciser qu'une aggravation de l'état de santé de l'assuré survenue à compter de décembre 2010 reste sans incidence sur le traitement du présent litige, étant donné que le juge des assurances sociales n'a pas à prendre en compte les modifications de l'état de fait survenues postérieurement à la date déterminante de la décision attaquée (ATF 131 V 242 consid. 2.1; 129 V 1 consid. 1.2; TF 9C_931/2008 du 8 mai 2009 consid. 4.3), soit le 30 novembre 2010.</w:t>
      </w:r>
    </w:p>
    <w:p>
      <w:r>
        <w:rPr>
          <w:b/>
        </w:rPr>
        <w:t>E. 4</w:t>
      </w:r>
    </w:p>
    <w:p>
      <w:r>
        <w:t>Le recourant conteste le revenu d'invalide retenu par l'OAI, en se prévalant de ses problèmes de santé et de sa situation personnelle.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En l'espèce, après la cessation de ses rapports de travail avec D.________ Sàrl, le recourant n'a pas repris d'activité professionnelle. Il convient donc, conformément à la jurisprudence rappelée ci-dessus, de fixer le revenu d'invalide selon les statistiques salariales de l'ESS. En effet, il est admis que le marché du travail offre un éventail suffisamment large d'activités légères, dont on doit convenir qu'un nombre significatif sont adaptées aux limitations fonctionnelles du recourant et accessibles sans aucune formation particulière (TF 9C_393/2008 du 27 janvier 2009 consid. 3.5; TF 9C_1066/2009 du 22 septembre 2010 consid. 4.2; TF 9C_869/2007 du 14 août 2008 consid. 3 et les références citées). A cet égard, le recourant allègue mais ne démontre pas que des activités légères ne seraient pas exigibles de sa part, compte tenu de son état de santé et de ses limitations fonctionnelles, alors même que l'aptitude à l'exercice de telles activités a été observée durant le stage aux EPI. Au demeurant, il n'y a pas lieu, dans ce contexte, d'examiner dans quelle mesure la situation concrète du marché du travail lui permettrait concrètement de retrouver un emploi (TF 9C_1066/2009 du 22 septembre 2010 consid. 4.2; TF 9C_713/2011 du 11 octobre 2011; TF 9C_31/2010 du 28 septembre 2010 consid. 4.3). L'assuré présentant une incapacité de travail de longue durée depuis le 9 novembre 2009, on se fondera sur une comparaison des revenus pour l'année 2010, compte tenu du délai de carence d'une année prévu à l'art. 28 al. 1 let. b LAI s'agissant du début du droit à la rente. Selon l'ESS, dans une activité simple et répétitive dans le secteur privé, le salaire moyen des hommes en 2010 était de 4'901 fr. par mois, part au 13 ème salaire comprise. Compte tenu de la durée de travail hebdomadaire en 2010 (41.6 heures), il y a lieu de retenir un montant de base annuel de 61'164 fr. 48. S'agissant de l'abattement du revenu d'invalide, on relèvera que l'assuré, né en 1965, est encore relativement jeune, qu'il a travaillé en Suisse depuis 2001 et bénéficie d'un permis de séjour. S'il n'a pas de formation certifiée, il a pu travailler avec succès auprès de plusieurs employeurs. Enfin, selon les responsables de stage des EPI, il bénéficie d'une très bonne habileté manuelle et peut notamment effectuer des activités d'assemblage. Il y a lieu de préciser que d'éventuelles lacunes scolaires ou linguistiques n'ont pas à être prises en charge par l'assurance-invalidité (TF I 381/06 du 30 avril 2007; TFA I 724/02 du 10 janvier 2003 consid. 4.2.2). Dès lors, se fondant sur le seul critère d'abattement que constituent les limitations fonctionnelles, l'OAI pouvait, sans abuser de son pouvoir d'appréciation, retenir un taux de 10%, qui n'est donc pas critiquable. Le revenu d'invalide se monte ainsi à 55'048 fr. 03. La comparaison avec un revenu sans invalidité – non contesté et correspondant aux indications données par l'employeur – de 62'000 fr. conduit à un degré d'invalidité de 11%, qui ne donne droit ni à une rente ni à des mesures d'ordre professionnel. c) Partant, le recours doit être rejeté, et la décision attaquée confirmée, dès lors qu'elle s'avère conforme au droit fédéral.</w:t>
      </w:r>
    </w:p>
    <w:p>
      <w:r>
        <w:rPr>
          <w:b/>
        </w:rPr>
        <w:t>E. 5</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montant couvert par l'avance de frais, et être mis à la charge du recourant, qui succombe. Vu l'issue du litige, il n'y a pas lieu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