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426/10 - 5/2012 vom 28. Oktober 2011</w:t>
      </w:r>
    </w:p>
    <w:p>
      <w:r>
        <w:t>VD Tribunal cantonal, 2011-10-28, FR</w:t>
      </w:r>
    </w:p>
    <w:p>
      <w:r>
        <w:rPr>
          <w:b/>
        </w:rPr>
        <w:t xml:space="preserve">Quelle: </w:t>
      </w:r>
      <w:r>
        <w:t>https://mcp.opencaselaw.ch/entscheid/vd_findinfo_AI_426_10_-_5_2012</w:t>
      </w:r>
    </w:p>
    <w:p>
      <w:r>
        <w:t>FR: VD_FINDINFO AI 426/10 - 5/2012 du 28 octobre 2011</w:t>
      </w:r>
    </w:p>
    <w:p>
      <w:r>
        <w:t>IT: VD_FINDINFO AI 426/10 - 5/2012 del 28 ottobre 2011</w:t>
      </w:r>
    </w:p>
    <w:p>
      <w:pPr>
        <w:pStyle w:val="Heading2"/>
      </w:pPr>
      <w:r>
        <w:t>Regeste</w:t>
      </w:r>
    </w:p>
    <w:p>
      <w:r>
        <w:t>RENTE D'INVALIDITÉ, NOUVELLE DEMANDE, DEGRÉ DE L'INVALIDITÉ | 28 LAI, 16 LPGA, 6 LPGA, 7 LPGA, 8 al. 1 LPGA, 87 al. 3 RAI, 87 al. 4 RAI</w:t>
      </w:r>
    </w:p>
    <w:p>
      <w:pPr>
        <w:pStyle w:val="Heading2"/>
      </w:pPr>
      <w:r>
        <w:t>Erwägungen</w:t>
      </w:r>
    </w:p>
    <w:p>
      <w:r>
        <w:rPr>
          <w:b/>
        </w:rPr>
        <w:t>E. 1</w:t>
      </w:r>
    </w:p>
    <w:p>
      <w:r>
        <w:t>a) Interjeté le 9 décembre 2010, dans le délai légal de trente jours dès la notification de la décision entreprise, le recours est déposé en temps utile (art. 60 al. 1 LPGA [loi fédérale du 6 octobre 2000 sur la partie générale du droit des assurances sociales; RS 830.1]). b) La loi cantonale vaudoise du 28 octobre 2008 sur la procédure administrative (LPA-VD; RSV 173.36), entrée en vigueur le 1 er janvier 2009, s’applique aux recours dans le domaine des assurances sociales (art. 2 al. 1 let. c LPA-VD). La Cour des assurances sociales du Tribunal cantonal est compétente pour statuer (art. 93 al. 1 let. a LPA-VD).</w:t>
      </w:r>
    </w:p>
    <w:p>
      <w:r>
        <w:rPr>
          <w:b/>
        </w:rPr>
        <w:t>E. 2</w:t>
      </w:r>
    </w:p>
    <w:p>
      <w:r>
        <w:t>La recourante estime qu’une expertise pluridisciplinaire est indispensable pour déterminer son droit aux prestations, et déplore que l’office intimé lui refuse une rente d’invalidité à laquelle elle prétend avoir droit. a) Est réputée invalidité l’incapacité de gain totale ou partielle qui est présumée permanente ou de longue durée, résultant d’une infirmité congénitale, d’une maladie ou d’un accident (art. 8 al. 1 LPGA et 4 al. 1 LAI [loi fédérale du 19 juin 1959 sur l'assurance-invalidité;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w:t>
      </w:r>
    </w:p>
    <w:p>
      <w:r>
        <w:rPr>
          <w:b/>
        </w:rPr>
        <w:t>E. 2.3</w:t>
      </w:r>
    </w:p>
    <w:p>
      <w:r>
        <w:t>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Ce principe est aussi valable s’agissant de l’appréciation émise par un psychiatre traitant (TF I 50/06 du 17 janvier 2007 consid. 9.4).</w:t>
      </w:r>
    </w:p>
    <w:p>
      <w:r>
        <w:rPr>
          <w:b/>
        </w:rPr>
        <w:t>E. 3</w:t>
      </w:r>
    </w:p>
    <w:p>
      <w:r>
        <w:t>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RAI [règlement du 17 janvier 1961 sur l'assurance-invalidité;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125 V 410 consid. 2b; 117 V 198 consid. 4b et les références). A cet égard, une appréciation différente de la même situation médicale ne permet pas encore de conclure à l’existence d’une aggravation (ATF 112 V 371 consid. 2b; SVR 1996 IV no 70, p. 204, consid. 3a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(TFA I 67/02 du 2 décembre 2003 consid. 2; I 52/03 du 16 janvier 2004 consid. 2.1). b) Ce contrôle par l’autorité judiciaire n’est en revanche pas nécessaire lorsque l’administration est entrée en matière sur la nouvelle demande (ATF 109 V 108 consid. 2b; TFA I 490/03 du 25 mars 2004 consid. 3.2). Dans une telle situation, il convient de traiter l’affaire au fond et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130 V 71 consid. 3.2).</w:t>
      </w:r>
    </w:p>
    <w:p>
      <w:r>
        <w:rPr>
          <w:b/>
        </w:rPr>
        <w:t>E. 4</w:t>
      </w:r>
    </w:p>
    <w:p>
      <w:r>
        <w:t>a) En l’espèce, par décision sur opposition du 16 novembre 2007, I’OAI a rejeté la demande de prestations de la recourante. L’OAI est entré en matière sur la nouvelle demande de la recourante du 27 juin 2009. Il convient dès lors d’examiner si entre la décision du 16 novembre 2007 et celle du</w:t>
      </w:r>
    </w:p>
    <w:p>
      <w:r>
        <w:rPr>
          <w:b/>
        </w:rPr>
        <w:t>E. 9</w:t>
      </w:r>
    </w:p>
    <w:p>
      <w:r>
        <w:t>novembre 2010, un changement important des circonstances propres à influencer le degré d’invalidité s’est produit. b) Sur le plan somatique, la recourante ne présente pas, de l’avis de sa nouvelle médecin traitant, la Dresse V.________, de nouveau diagnostic rhumatologique, mais une aggravation des troubles existants (rapport médical du 10 mars 2011). Or il est établi que cette médecin ne suit la recourante que depuis août 2010. Dans ces conditions, on voit mal qu’elle puisse attester d’une aggravation de l’état de santé de sa patiente, d’autant plus que cette praticienne admet ne pas pouvoir se prononcer sur la capacité de travail de sa patiente de 2007 à août 2010. Dans son rapport médical du 13 octobre 2008 joint à la nouvelle demande de prestations de l’intéressée, le Dr M.________ pose certes un certain nombre de diagnostics, mais il y a lieu d’observer que ces diagnostics ont déjà été retenus dans le cadre de l’instruction de la première demande (ainsi en va-t-il des lombalgies chroniques avec sciatalgies sur hernie discale opérée le 21 janvier 2002, des thrombopénie et leucopénie chronique sur probable syndrome myélodysplasique), ou sont traités (comme la maladie migraineuse, la gastrite chronique et le reflux gastro-eosophagien). Il n’est pour le surplus par contesté que la recourante a subi une intervention avec PTH le 19 mai 2009. A cet égard, le Dr M.________ diagnostique dans son rapport médical du 8 septembre 2009 à l’OAI une coxarthrose droite avec PTH le 19 mai 2009. Le Dr X.________ retient lui aussi un status après PTH droite le 19 mai 2009 avec douleurs résiduelles, notant cependant que le testing n’exacerbait pas la symptomatologie algique (rapport médical du 1 er novembre 2009 à l'OAI). S’agissant de la coxarthrose droite, la Dresse J.________ observe qu’il s’agit bien d’une nouvelle atteinte, ayant justifié une incapacité de travail dans toute activité dès le 19 mai 2009, tout en relevant que la capacité de travail est à nouveau entière dans une activité adaptée dès le 23 mars 2010 (avis médical du 5 juillet 2010). Elle suit en cela l’avis du Dr Y.________, selon lequel on pouvait s’attendre, d’un point de vue médical, à ce que la recourante reprenne une activité adaptée dès le 1 er avril 2010 (avis médical du 23 mars 2010). Il ne peut ainsi être fait grief à l’office intimé de n’avoir tenu compte, comme le soutient la recourante, que de la coxarthrose et non des autres diagnostics posés. La Dresse V.________ fait encore état dans son rapport médical du 10 mars 2011 d’une hypertension artérielle difficile à traiter. Il convient à cet égard de suivre l’appréciation du Dr Q.________, selon laquelle une hypertension artérielle, même si elle est mal contrôlée, n’empêche pas le travail. Il en va de même s’agissant de l’insuffisance veineuse des membres inférieurs (avis médical du SMR du 11 avril 2011). Quant au diabète de type II, un traitement a débuté le concernant. Finalement, il convient de retenir qu’au plan somatique, il n’y a pas eu entre la dernière décision de refus de rente et la décision litigieuse, un changement important des circonstances propres à influencer le degré d’invalidité. c) Au plan psychiatrique, les médecins ne retiennent pas de diagnostics différents de ceux posés lors de la première demande de prestations. Ainsi le Dr M.________ fait état dans son rapport médical du 8 septembre 2009 d’un état dépressif et d’un trouble somatoforme. Il retenait déjà dans son rapport médical à l’OAI du 14 janvier 2004 un trouble somatoforme douloureux, un trouble dépressif récurrent et une dysthymie. Le Dr S.________ posait les mêmes diagnostics dans son rapport d’expertise psychiatrique du 19 novembre 2003. A la suite de l’examen clinique bidisciplinaire du 23 novembre 2005 auprès du SMR, les diagnostics de syndrome douloureux somatoforme persistant avec régression majeure (F45.4), de personnalité dépendante (F60.7), de difficultés liées à l’acculturation (Z60.3), d’expérience de catastrophe de guerre et d’autres hostilités (Z65.5), et de disparition et décès d’un membre de la famille (Z63.4) ont été posés, ces diagnostics étant toutefois sans répercussion sur la capacité de travail. A cet égard, la recourante soutient qu’il n’était pas possible d’éluder la question d’un diagnostic de trouble de personnalité sur la base du seul facteur socio-culturel. Or le rapport d’examen clinique bidisciplinaire du 23 janvier 2006 motive de manière claire et convaincante les raisons pour lesquelles les diagnostics psychiatriques retenus sont sans répercussion sur la capacité de travail. On rappellera pour le surplus que la recourante n’a pas recouru contre la décision initiale de refus de rente du 16 novembre 2007, laquelle était notamment fondée sur le rapport d’examen bidisciplinaire du SMR du 23 janvier 2006. Quant au suivi auprès du Centre de Psychiatrie du Nord Vaudois dont se prévaut l’intéressée, il a été entrepris à compter du mois de janvier 2011 (rapport du Dr G.________ du 6 juin 2011), soit à une date ultérieure à la décision attaquée. Or selon une jurisprudence constante, le juge examine la légalité des décisions attaquées, en règle générale, d’après l’état de fait existant au moment où la décision litigieuse a été rendue, les faits survenus postérieurement, et qui ont modifié cette situation, devant en principe faire l’objet d’une nouvelle décision administrative (ATF 132 V 215 consid. 3.1.1; 121 V 362 consid. 1b et les références). Il n’y a ainsi pas lieu d’en tenir compte dans le cadre de la présente affaire. Il ne se justifie dès lors pas de suspendre la procédure pour une durée de six mois ainsi que la recourante le requiert, pas plus que d’adresser une demande de renseignements complémentaires au Centre de Psychiatrie du Nord Vaudois. d) Au vu de ce qui précède, la Cour de céans retient qu’il n’y a pas eu, entre la décision du 16 novembre 2007 et celle du 9 novembre 2010, de changement important des circonstances propres à influencer la capacité de travail. L’instruction du dossier permettant de statuer en toute connaissance de cause, on ne voit pas, dans ce contexte, ce qu’une expertise pluridisciplinaire pourrait apporter de plus, si ce n’est une appréciation médicale supplémentaire, et il convient dès lors de rejeter la requête d’expertise pluridisciplinaire sollicitée par la recourante. En effet,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(ATF 130 Il 425 consid. 2.1). On relèvera toutefois que la présente appréciation ne préjuge pas, bien entendu, d’une éventuelle modification des faits déterminants postérieurement à la décision litigieuse, pouvant donner lieu à une nouvelle décision et le cas échéant à l’octroi d’une rente si les conditions en sont remplies. 5.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chiffrant aussi exactement que possible les montants de ces deux revenus et en les confrontant l’un avec l’autre, la différence permettant de calculer le taux d’invalidité (méthode générale de comparaison des revenus; ATF 128 V 29 consid. 1, 2a et 2b). b) En l’espèce, l’intéressée est sans activité lucrative et ne reçoit plus de gain régulier depuis 2003. Dans ces circonstances, il ne peut être fait grief à l’office intimé d’avoir déterminé les revenus avec et sans invalidité en se référant aux données statistiques, telles qu’elles résultent de l’enquête sur la structure des salaires (ESS) publiée par l’Office fédéral de la statistique (ATF 126 V 75 consid. 3b/aa et bb). Lorsque les revenus avec et sans invalidité sont basés sur la même tabelle statistique, il est superflu de les chiffrer avec exactitude. En pareil cas, le degré d’invalidité se confond avec celui de l’incapacité de travail, sous réserve d’une éventuelle réduction du salaire statistique (TFA I 1/03 du 15 avril 2003 consid. 5.2). c) La recourante conteste l’abattement opéré par l’OAI sur le salaire avec invalidité. A son avis, seul un abattement de l’ordre de 20 à 25% aurait dû pouvoir entrer en considération. Selon la jurisprudence (ATF 137 V 71), le point de savoir s’il y a lieu de procéder à un abattement sur le salaire statistique en raison de circonstances particulières (liées au handicap de la personne ou à d’autres facteurs) est une question de droit qui peut être examinée librement par le Tribunal fédéral. En revanche, l’étendue de l’abattement du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 (ATF 132 V 393 consid. 3.3).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de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Il découle de ce qui précède que la juridiction cantonale, lorsqu’elle examine l’usage qu’a fait l’administration de son pouvoir d’appréciation pour fixer l’étendue de l’abattement sur le revenu d’invalide, doit porter son attention sur les différentes solutions qui s’offraient à l’organe d’exécution de l’assurance-invalidité et voir si un abattement plus ou moins élevé (mais limité à 25% [ATF 126 V 75]) serait mieux approprié et s’imposerait pour un motif pertinent, sans toutefois substituer sa propre appréciation à celle de l’administration. En l’occurrence, et dès lors que tant le revenu sans invalidité que celui avec invalidité ont été déterminés sur la base de I’ESS, les facteurs de réduction autres que les limitations fonctionnelles liées au handicap et le taux d’occupation (âge, années de service, nationalité/catégorie d’autorisation de séjour) ont une influence identique sur les revenus avec et sans invalidité. Dans ces conditions, l’abattement de 10% retenu par l’office intimé ne prête pas le flanc à la critique. Cela étant, même s’il avait procédé à l’abattement maximum de 25% sur le revenu d’invalide (cf. ATF 126 V 75 consid. 5), le droit à la rente n’aurait pas été ouvert. d) Selon la jurisprudence,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et la référence). Le Tribunal fédéral a par ailleurs admis qu’il y a lieu dans la comparaison des revenus de tenir compte du fait qu’un assuré touchait un salaire nettement inférieur aux salaires habituels de la branche pour des raisons étrangères à l’invalidité (p. ex. formation professionnelle insuffisante, limitation des possibilités d’emploi en raison du statut de saisonnier), lorsque les circonstances ne permettent pas de supposer que l’assuré s’est contenté d’un salaire plus modeste que celui qu’il aurait pu prétendre (ATF 134 V 322 consid. 4.1 et les arrêts cités). Il a précisé que le revenu effectivement réalisé doit être considéré comme nettement inférieur aux salaires habituels de la branche lorsqu’il est inférieur d’au moins 5% au salaire statistique usuel dans la branche; ce revenu peut, si les autres conditions sont réalisées, justifier un parallélisme des revenus à comparer, lequel doit porter seulement sur la part qui excède le taux déterminant de 5% (ATF 135 V 297). En l’occurrence, l’argumentation de la recourante relative au revenu nettement inférieur à la moyenne n’est pas pertinente, dès lors que le revenu sans invalidité a été évalué sur la base de I’ESS. 6. a) En définitive, le recours doit être rejeté et la décision confirmée. b) En dérogation à l’art. 61 let. a LPGA, la procédure de recours en matière de contestations portant sur l’octroi ou le refus de prestations de l’Al devant le tribunal cantonal des assurances est soumise à des frais de justice; le montant des frais est fixé en fonction de la charge liée à la procédure, indépendamment de la valeur litigieuse, et doit se situer entre 200 et 1'000 francs (art. 69 al. 1bis LAI). En l’espèce, compte tenu de l’ampleur de la procédure, les frais de justice doivent être arrêtés à 400 fr. et mis à la charge de la recourante, qui succombe (art. 49 LPA-VD). Celle-ci ayant été mise au bénéfice de l’assistance judiciaire, ils seront toutefois provisoirement supportés par l’Etat. c) Il n’y a pas lieu d’allouer de dépens, puisque la recourante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