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3/17 - 367/2017 vom 19. Dezember 2017</w:t>
      </w:r>
    </w:p>
    <w:p>
      <w:r>
        <w:t>VD Tribunal cantonal, 2017-12-19, FR</w:t>
      </w:r>
    </w:p>
    <w:p>
      <w:r>
        <w:rPr>
          <w:b/>
        </w:rPr>
        <w:t xml:space="preserve">Quelle: </w:t>
      </w:r>
      <w:r>
        <w:t>https://mcp.opencaselaw.ch/entscheid/vd_findinfo_AI_3_17_-_367_2017</w:t>
      </w:r>
    </w:p>
    <w:p>
      <w:r>
        <w:t>FR: VD_FINDINFO AI 3/17 - 367/2017 du 19 décembre 2017</w:t>
      </w:r>
    </w:p>
    <w:p>
      <w:r>
        <w:t>IT: VD_FINDINFO AI 3/17 - 367/2017 del 19 dicembre 2017</w:t>
      </w:r>
    </w:p>
    <w:p>
      <w:pPr>
        <w:pStyle w:val="Heading2"/>
      </w:pPr>
      <w:r>
        <w:t>Regeste</w:t>
      </w:r>
    </w:p>
    <w:p>
      <w:r>
        <w:t>RENTE D'INVALIDITÉ, EXPERTISE, COMPARAISON DES REVENUS, DÉCISION DE RENVOI, ADMISSION DE LA DEMANDE | 28 LAI, 28a LAI, 4 al. 1 LAI, 43 al. 1 LPGA, 7 LPGA, 8 al. 1 LPGA, 25 al. 1 let. b RAI</w:t>
      </w:r>
    </w:p>
    <w:p>
      <w:pPr>
        <w:pStyle w:val="Heading2"/>
      </w:pPr>
      <w:r>
        <w:t>Erwägungen</w:t>
      </w:r>
    </w:p>
    <w:p>
      <w:r>
        <w:rPr>
          <w:b/>
        </w:rPr>
        <w:t>E. 50</w:t>
      </w:r>
    </w:p>
    <w:p>
      <w:r>
        <w:t>à 60 % parce que je n’arrivais pas à assumer le cahier des charges à 50 %, comme l’avait fait mes prédécesseurs depuis de nombreuses années. J’ai parlé de mes problèmes de santé à mon employeur avant d’avoir été engagée. Il s’est montré compréhensif lorsque j’ai expliqué ne pouvoir assumer mon travail dans le cadre d’un 50 % et nous avons convenu du 60 %. J’ai dû travailler un certain temps pour me rendre compte que j’avais besoin de plus de temps pour remplir mon cahier des charges. A partir de l’année prochaine, mon employeur va replanifier l’organisation et il est possible que mon taux d’activité revienne à 50 %. Sur demande de mon conseil, je précise qu’il est prévu que je travaille tous les matins, mais je peux arriver plus tard, notamment le mercredi, d’entente avec mon employeur de façon à concilier mon état de santé et mes obligations professionnelles, étant précisé que la maladie est particulièrement active le matin. Je fais un 50 % dans la semaine et les 10 % supplémentaires, je les fais le week-end, depuis la maison, en travaillant sur l’ordinateur pour des commandes par exemple. Je suis trop fatiguée dans la semaine pour faire ces 10 %. Lorsque je rentre l’après-midi, je dors. […] Je suis sous antidépresseurs depuis une année avec une thérapie. »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compte tenu des féries, le recours a été interjeté en temps utile auprès du tribunal compétent (art. 93 let. a LPA-VD [loi cantonale vaudoise du 28 octobre 2008 sur la procédure administrative ; RSV 173.36]) et respecte pour le surplus les formalités prévues par la loi (art. 61 let. b LPGA), de sorte qu'il est recevable. 2. Le litige porte sur le droit de la recourante à des prestations de l’assurance-invalidité. 3. a) En vertu de l’art. 8 al. 1 LPGA, est réputée invalidité l’incapacité de gain totale ou partielle qui est présumée permanente ou de longue durée, résultant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en moyenne durant une année sans interruption notable (art. 28 al. 1 LAI). La rente est échelonnée selon le taux d’invalidité. Ainsi,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(art. 28 al. 2 LAI). b)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citées). c)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4. En premier lieu, il s’agit de déterminer la capacité de travail de la recourante, vu les divergences entre les rapports médicaux au dossier et les déclarations de la recourante à l’audience du 19 octobre 2017. a) Il ne sera pas tenu compte du rapport du Dr R.________, lequel est relativement ancien et réservait déjà une évolution de la capacité de travail en fonction du succès des traitements mis en place. Dans ses rapports rédigés à une année d’intervalle, le Dr C.________ évalue à 60 %, puis à 50 % la capacité de travail de sa patiente. En date du 19 mai 2015, il mentionnait une exigibilité de 60 % et une adaptation de sa patiente à son handicap sur sa place de travail. Par ailleurs, les mesures médicales envisageables destinées à la réduction des restrictions physiques, en l’occurrence, la fatigue, une douleur au coude droit, des lombalgies et des difficultés avec le pouce droit, étaient déjà instaurées. À l’époque de ce rapport, la recourante avait repris son activité à 60 % auprès de D.________ SA et ce depuis plus de huit mois. En date du 23 mai 2016, le Dr C.________ évoque une capacité de travail de 50 % exclusivement, que ce soit auprès de l’employeur précédent ou actuel, en raison des douleurs métacarpo-phalangiennes, des tendinopathies aux coudes et aux épaules ainsi que des lombalgies accentuées par les mouvements répétitifs et le port de charges. Le traitement était toujours suivi. À l’époque de ce rapport, l’emploi de la recourante auprès de l’Ecole Y.________ était encore de 50 %. b) A l’audience du 19 octobre 2017, la recourante a déclaré que son cahier des charges n’avait jamais été adapté auprès de son ancien employeur D.________ SA, soit qu’elle devait continuer à faire le même travail à 60 % que celui qu’elle faisait par le passé à 90 %. Elle a ajouté qu’auprès de son nouvel employeur, elle effectuait les mêmes tâches que ses prédécesseurs à 50 %, mais qu’au vu de sa maladie, son taux avait été augmenté à 60 %, avec un salaire correspondant à ce pourcentage. c) Ces déclarations paraissent crédibles et sont corroborées par les pièces du dossier. La lettre de résiliation des rapports de travail du 29 septembre 2015 mentionne en effet que la fonction d’assistante de direction précédemment occupée par la recourante nécessitait un taux d’activité minimum de 90 % d’un horaire normal et que malgré tous les efforts de la recourante, elle n’avait pas pu assumer ses tâches. Pour ce qui est du poste auprès de l’Ecole Y.________, l’avenant au contrat signé le 26 août 2015, confirme que le taux d’activité, et par conséquent le salaire, a été augmenté pour donner suite à la demande de la recourante. Il résulte de ce qui précède que dans les faits, la recourante n’a jamais travaillé à un taux de 60 % d’un 100 % auprès de D.________ SA et qu’elle travaille actuellement à un taux de 60 %, mais avec une diminution de rendement de 16.66 % vu le cahier des charges établi pour un emploi à 50 %. d) Cela étant et malgré les divergences relatives au taux d’activité, les avis médicaux s’accordent à retenir une fatigabilité de la recourante (rapport du Dr R.________ du 19 août 2014, rapports du Dr C.________ des 19 mai 2015 et 23 mai 2016). Cette dernière a déclaré dans le cadre de l’enquête économique sur le ménage du 15 septembre 2015 que la fatigue était fluctuante et que son état pouvait être très différent d’un jour à l’autre. aa) La spondylarthrite ankylosante (maladie de Bechterew), qui fait partie des affections rhumatismales inflammatoires dites chroniques, est caractérisée par une inflammation et une ankylose principalement de l’axe vertébral. Assez souvent, elle se déclare tout d’abord par la problématique oculaire et, à son apparition, on doit alors rechercher systématiquement les signes vertébraux cliniques et radiologiques latents. Elle évolue par poussées à composante inflammatoire, dont l’importance et la fréquence sont très variables et qui sont entrecoupées de périodes de rémission durant lesquelles il subsiste une ankylose (TF 5C.101/2004 du 4 août 2004 consid. E.b.c). bb) Au vu de ce qui précède, il apparaît que l’état de santé de la recourante est évolutif vu les caractéristiques de la maladie, en particulier l’état de fatigue mis en avant par les médecins, ce qui a des conséquences sur la capacité de travail. La divergence entre un taux d’activité de 50 et 60 % qui ressort des différents rapports médicaux est donc peu étonnante, dépendant vraisemblablement aussi du type d’activité et des trajets à faire vu les déclarations de la recourante. La Cour de céans n’est toutefois pas en mesure de déterminer le réel taux d’incapacité et son évolution, ce d’autant moins que la recourante semble également souffrir d’une atteinte à la santé psychique qui a motivé une consultation en automne dernier, soit avant la reddition de la décision litigieuse. Cette atteinte peut également avoir une influence sur la capacité de travail même s’il s’agit d’une nouvelle atteinte. 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Berne/St-Gall/Zurich 3 ème éd. 2015, n°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l’occurrence, il incombe à l’OAI de procéder à l’ensemble des mesures d’instruction permettant d’élucider la situation médicale de la recourante, notamment sa capacité de travail, en procédant à une expertise bidisciplinaire, laquelle devra comporter – à tout le moins – des volets psychiatrique et rhumatologique. 6. Quand bien même le recours doit être admis pour les motifs qui précèdent et renvoyé à l’intimé, le principe de l'économie de la procédure impose d'examiner le choix de la méthode d’évaluation du degré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 a al. 1 LAI en corrélation avec l'art. 16 LPGA) et ses sous-variantes, la méthode de comparaison en pour-cent (ATF 114 V 310 consid. 3a et les références citées) et la méthode extraordinaire de comparaison des revenus (ATF 128 V 29 ; également TF 9C_236/2009 du 7 octobre 2009 consid. 3 et 4). Chez les assurés n'exerçant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 a al. 2 LAI en corrélation avec les art. 8 al. 3 LPGA et 27 RAI). Par travaux habituels, il faut notamment entendre l'activité usuelle dans le ménage, l'éducation des enfants ainsi que toute activité artistique ou d'utilité publique (art. 27 RAI). Chez les assurés qui n'exerçaient que partiellement une activité lucrative, l'invalidité est, pour cette part, évaluée selon la méthode générale de comparaison des revenus. S'ils se consacraient en outre à leurs travaux habituels au sens des art. 28 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 a al. 3 LAI en corrélation avec l'art. 27 bis RAI ; ATF 137 V 334 ; 131 V 51 consid. 5.1.2).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La limitation dans le domaine lucratif doit être prise en considération de façon proportionnelle – en fonction de l'étendue de l'hypothétique taux d'activité lucrative à temps partiel (ATF 131 V 51 consid. 5.1.2 et 5.2, précisé par l'ATF 142 V 290 consid. 7).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 ATF 133 V 504 consid. 3.3 et les références citées ; TF 9C_49/2008 du 28 juillet 2008 consid. 3.1-3.4 et I 156/04 du 13 décembre 2005 consid. 5.1.2). b) En l’occurrence, l’OAI a appliqué la méthode mixte. Or, en l’absence d’atteinte à la santé incapacitante, la recourante, célibataire vivant seule et sans enfant, a travaillé auprès de D.________ SA de juin 2006 à décembre 2007 à plein temps, puis à 90 % dès janvier 2008, non pas pour se consacrer à ses travaux habituels, en l’occurrence la tenue de son ménage, mais pour gagner en qualité de vie, la recourante employant le temps libre ainsi dégagé à ses loisirs. C’est donc la méthode générale de comparaison des revenus qui doit s’appliquer, ce qui dispense de l’examen des rapports d’enquête ménagère. c) La Cour de céans constate également que le salaire actuel de la recourante comprend une part de salaire social.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139 V 592 consid. 2.3). L’art. 25 al. 1 let. b RAI (Règlement du 17 janvier 1961 sur l’assurance-invalidité ; RS 831.201) exclut la prise en compte, à titre de revenu, des éléments de salaire dont il est prouvé que l’assuré ne peut fournir la contrepartie parce que sa capacité de travail limitée ne lui permet pas. C’est ce que l’on nomme « salaire social » (Michel Valterio, Droit de l'assurance-vieillesse et survivants [AVS] et de l'assurance-invalidité [AI], Genève/Zurich/Bâle 2011, p. 549 n° 2071). Il y a salaire social lorsque les prestations versées par l’employeur ne correspondent pas au rendement de l’assuré (ATF 104 V 90 consid. 2). Dans ce cas, ce dernier poursuit régulièrement son activité, mais il ne peut fournir, en raison de l’atteinte à la santé, qu’une prestation réduite du point de vue quantitatif ou qualitatif. Si tel est le cas, il ne faut prendre en compte, à titre de revenu, que la part du salaire qui correspond à sa capacité de travail. Les montants qui dépassent cette part sont considérés comme un salaire social lors même que des cotisations en auraient été déduites (RCC [Revue à l’intention des caisses de compensation] 1970 p. 336 consid. 2). L’exigence d’un salaire social doit être strictement prouvée dans la mesure où, en règle générale, il y a lieu de présumer que le salaire effectif correspond à la valeur du travail fourni (ATF 117 V 8 consid. 2c/aa). En effet, un employeur pourrait avoir intérêt à l’admission d’un salaire social pour pouvoir ensuite diminuer le salaire de l’assuré mis au bénéfice d’une rente. Pour admettre l’existence d’un salaire social, les renseignements de l’employeur doivent donc en principe concorder parfaitement avec ceux du rapport médical (Valterio, op.cit. , p. 550 n° 2072). bb) Eu égard à l’avenant au contrat de travail signé le 26 août 2015 et aux déclarations de la recourante en audience du 19 octobre 2017 s’agissant de sa demande d’augmentation du taux d’activité (consid. 4b supra ), alors que le travail a effectué reste identique vu l’absence d’indication quant à une modification du cahier des charges, il y a lieu de considérer que l’augmentation de salaire perçue est un salaire purement social. Le passage de la recourante de la classe 11/19 à la classe 12/19 ne justifie pas non plus entièrement l’augmentation des revenus. Par voie de conséquence, l’intimé ne pouvait pas – au vu de la part de salaire social comprise dans les revenus – faire une comparaison des gains sans tenir compte du salaire social. Par ailleurs, si la précédente activité habituelle de la recourante demeurait adaptée au vu des limitations fonctionnelles décrites (rapport du Dr C.________ du 19 mai 2015) et en tenant compte de l’état de santé de la recourante, on ne saurait en revanche évaluer la capacité de travail réelle de l’assurée sur la base de son taux d’activité auprès de D.________ SA, dans la mesure où le cahier des charges n’a pas été modifié malgré la diminution du taux d’activité. d) Cela étant, dès lors que le taux d’activité n’a pas pu être établi (consid. 4 supra ), il appartiendra à l’intimé de reprendre les calculs s’agissant du degré d’invalidité également. 7. Il résulte de ce qui précède que le recours, bien fondé, doit être admis, la décision attaquée annulée et la cause renvoyée à l'OAI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la recourante, assistée d'un mandataire professionnel, a par ailleurs droit à des dépens, fixés en l’espèce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