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391/19 - 219/2021 vom 20. Juli 2021</w:t>
      </w:r>
    </w:p>
    <w:p>
      <w:r>
        <w:t>VD Tribunal cantonal, 2021-07-20, FR</w:t>
      </w:r>
    </w:p>
    <w:p>
      <w:r>
        <w:rPr>
          <w:b/>
        </w:rPr>
        <w:t xml:space="preserve">Quelle: </w:t>
      </w:r>
      <w:r>
        <w:t>https://mcp.opencaselaw.ch/entscheid/vd_findinfo_AI_391_19_-_219_2021</w:t>
      </w:r>
    </w:p>
    <w:p>
      <w:r>
        <w:t>FR: VD_FINDINFO AI 391/19 - 219/2021 du 20 juillet 2021</w:t>
      </w:r>
    </w:p>
    <w:p>
      <w:r>
        <w:t>IT: VD_FINDINFO AI 391/19 - 219/2021 del 20 luglio 2021</w:t>
      </w:r>
    </w:p>
    <w:p>
      <w:pPr>
        <w:pStyle w:val="Heading2"/>
      </w:pPr>
      <w:r>
        <w:t>Regeste</w:t>
      </w:r>
    </w:p>
    <w:p>
      <w:r>
        <w:t>ATTEINTE À LA SANTÉ PHYSIQUE, ARTHROSE, ADMISSION PARTIELLE, ÂGE, MESURE D'ORDRE PROFESSIONNEL, RENTE TEMPORAIRE | 28 LAI, 4 LAI, 8 LAI, 17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des prestations de l’assurance-invalidité, singulièrement son droit à une rente au-delà du 28 février 2017.</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En particulier,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e)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 9C_722/2014 du 29 avril 2015 consid. 4.1).</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En l’espèce, l’intimé est entré en matière sur la seconde demande de prestations AI déposée par la recourante et a procédé à une instruction en requérant notamment des avis auprès de ses médecins traitants et en ordonnant deux expertises. Il convient d'examiner si, entre la dernière décision entrée en force du 3 mai 2012 et la décision litigieuse du 18 octobre 2019, l’état de santé de l’intéressée s’est modifié de façon à influencer son droit à des prestations AI. b) Sur le plan psychique, l’OAI n’a pas retenu d’atteintes incapacitantes dans sa décision du 3 mai 2012. Les rapports subséquents du Dr M.________ ne mettent pas en évidence d’éléments d’aggravation depuis lors. Il considère au contraire dans son rapport du 13 novembre 2015 que les atteintes psychiques de son ancienne patiente ne sont pas incapacitantes et, dans son rapport du 22 juin 2018, il ne se prononce pas sur la capacité de travail, suggérant la mise en œuvre d’une expertise psychiatrique. Il n’y aurait d’ailleurs plus de suivi psychiatrique depuis le mois de novembre 2017, ce qui est a priori significatif de l’absence d’aggravation au-delà de cette date. L’expertise du Dr N.________ le confirme, ce praticien ne retenant pas d’atteinte psychique incapacitante. S’agissant de cette expertise, dont la vocation première était de vérifier l’hypothèse d’un trouble somatoforme douloureux, elle a pleine valeur probante au regard des critères jurisprudentiels (cf. consid. 5 supra). L’expertise est fondée sur les rapports médicaux au dossier, une anamnèse particulièrement détaillée, spontanée puis orientée, tant sur le plan médical, que familial, personnel, professionnel et social. Elle contient également les plaintes de la recourante et des informations relatives à ses activités quotidiennes. L’expert rapporte également ses observations s’agissant du comportement et de l’apparence de la recourante ainsi que ses constatations ressortant de l’examen clinique. L’expert a tout d’abord posé les diagnostics de majoration de symptômes physiques pour des raisons psychiques (F68.0) et d’accentuation de traits de la personnalité histrionique (Z73.1). Ce faisant, il a posé un diagnostic selon les règles de l’art, en se référant à la Classification internationale des maladies de l’Organisation mondiale de la Santé (CIM-10). Certes, ces diagnostics divergent de ceux posés par le Dr M.________. Il faut néanmoins rappeler que du point de vue de l’assurance-invalidité, ce n’est pas fondamentalement le diagnostic, mais l’effet d’une atteinte à la santé sur la capacité de travail qui est déterminant (cf. TF 9C_273/2018 du 28 juin 2018 consid. 4.2). Cela étant, les divergences entre l’expert et le Dr M.________ sont mineures. L’expert a écarté le diagnostic d’épisode dépressif majeur après avoir notamment constaté que l’expertisée donnait une description positive de sa personnalité, gardait l’espoir d’une amélioration de sa situation, surmontait ses plaintes pour mener une vie organisée en fonction de ses préférences, sans attitude morose ou pessimiste. Il explique de surcroît que les symptômes affectifs légers caractérisant l’un des diagnostics retenus par le Dr M.________ constituent un phénomène d’accompagnement de la majoration de symptômes physiques pour des raisons psychologiques (rapport d’expertise du 14 novembre 2018, page 28, 2 ème paragraphe). L’expert a relevé à cet égard que cela entraînait typiquement des moments de tristesse et de déception chez l’assurée. L’expert a également exclu le diagnostic de trouble de la personnalité retenu par le Dr M.________. Il a en particulier observé que l’assurée menait une vie autonome sans perturbation sévère de la constitution caractérologique persistant depuis l’adolescence ( ibidem , page 29). L’expert a cependant indiqué que les particularités de fonctionnement de l’expertisée correspondaient à l’accentuation de traits de personnalité histrionique. En tout état de cause, il sied de préciser que le Tribunal fédéral a déjà été amené à constater que des traits de personnalité n'avaient en principe pas valeur de maladie psychiatrique (cf. p. ex. TF 9C_894/2015 du 25 avril 2016 consid. 5.1). L’expert a spécifié à ce titre que les plaintes de l’assurée contrastaient avec ses propres observations cliniques et l’absence de traitement antalgique. Enfin, selon l’expert, l’ensemble du tableau clinique était insuffisant pour retenir un syndrome douloureux somatoforme persistant. S’agissant du degré de gravité fonctionnel et des ressources, le constat d’une pleine capacité de travail n’est nullement critiquable, au vu des observations de l’expert figurant dans les rubriques anamnèse orientée, habitudes, vie sociale, vie quotidienne. Il apparaît en effet que l’assurée mène une vie autonome, gère seule ses finances et la tenue de son ménage. Elle décrit également ses journées de manière positive, se baladant en forêt, rencontrant des amis ou s’intéressant à la littérature, la peinture et certaines émissions de télévision. Elle réalise par ailleurs des exercices quotidiens d’ergothérapie pour sa main droite. On relèvera encore que l’assurée n’a plus de suivi psychiatrique depuis le mois de novembre 2017, que le suivi antérieur a été limité dans le temps et n’a pas donné lieu à une prescription de traitement antidépresseur de longue durée. L’expert a également décrit l’assurée comme quelqu’un de souriant et entrant en contact de manière joviale. Le Dr N.________ a enfin relevé que l’assurée avait participé activement à 5 heures d’examen, sans montrer de signes de fatigue après des efforts minimes, ni de diminution majeure de l'attention ou de la concentration (rapport d’expertise du 14 novembre 2018, p. 27 in fine ). Ces observations contredisent dès lors les critiques de la recourante quant au stress généré par l’expertise. Tous ces éléments plaident en outre en faveur d’un faible degré de gravité fonctionnel et de l’existence de ressources importantes chez l’assurée, permettant d’exclure tout caractère incapacitant aux diagnostics retenus. Les appréciations des Drs M.________ et N.________ se rejoignent ainsi quant à la capacité de travail de l’assurée, contrairement à ce qu’elle allègue. Les propos du psychiatre traitant s’agissant de la faible probabilité d’une reprise d’activité doivent en effet être replacés dans leur contexte : ce médecin lie l’incapacité de travail à l‘atteinte somatique et au contexte psycho-social qui, selon lui, joue un rôle prédominant. Or, les facteurs psycho-sociaux ne sont pas du ressort de l’assurance-invalidité (TF 9C_656/2017 du 26 mars 2018 consid. 5.3 ; TF 9C_700/2009 du 29 mars 2010 consid. 4.2.4.3). L’expert a par ailleurs procédé à une évaluation de l’évolution des traitements et discuté des chances de guérison, en particulier des mesures thérapeutiques à mettre en œuvre. L’expertise comprend enfin une évaluation de la cohérence et de la plausibilité. Le rapport d’expertise du Dr N.________ remplit tous les réquisits jurisprudentiels permettant de lui accorder une pleine valeur probante et aucun rapport médical contemporain ou postérieur ne permet d’en remettre en cause les conclusions s‘agissant de l’absence d’incapacité de travail inhérente aux troubles psychiques. c) Sur le plan somatique, l’intimé s’est fondé sur les constatations du Dr Q.________ figurant dans son rapport d’expertise du 22 mai 2018 et son complément du 20 décembre 2018, pour retenir que la recourante présentait à nouveau une pleine capacité de travail dans son activité habituelle à partir du 7 novembre 2016. Du rapport d’expertise du 22 mai 2018 du Dr Q.________, il ressort que l’allégation de douleurs par la recourante, douleurs empirant de surcroît entre les deux examens cliniques, ne correspondait pas à ce qui était objectivement attendu dans les suites de l’arthrodèse, raison pour laquelle il a émis l’hypothèse d’un trouble somatoforme douloureux et préconisé la mise en œuvre d’une expertise psychiatrique. Il lui appartenait cependant de traiter la question essentielle qui lui était posée, savoir l’analyse de la capacité de travail sur le plan somatique ainsi que des limitations fonctionnelles sur la base des examens cliniques du membre supérieur droit ou sur la base des rapports de ses confrères figurant au dossier. En l’occurrence, le Dr Q.________ a d’abord conclu, dans son rapport d’expertise du 22 mai 2018, à une capacité de travail nulle de l’assurée pour ensuite revenir sur ses conclusions dans un complément du 20 décembre 2018, après communication d’extraits de l’expertise du Dr N.________, mais sans réexamen de la recourante, ni développement de son appréciation. En outre, il nie l’existence de limitations fonctionnelles tout en retenant une capacité de travail de 100 % dans les « activités exigibles ». Ce qualificatif présuppose en l’occurrence une activité adaptée, et par conséquent des limitations fonctionnelles. En présence d’un complément lacunaire, voire contradictoire, il aurait pu être attendu de l’OAI d’interpeller une seconde fois l’expert pour requérir les précisions nécessaires à la détermination de la capacité de travail. Cette abstention de l’OAI ne permet cependant pas à elle seule d’aboutir au constat d’une instruction lacunaire sans examiner au préalable si d’autres pièces médicales au dossier pourraient se voir reconnaître une pleine valeur probante. En l’occurrence, hormis l’examen radiographique du 29 mars 2018 et les certificats médicaux du Dr X.________ attestant sans discontinuer d’une incapacité de travail totale, n’ont été produits au dossier, en relation avec l’atteinte à l’index droit ou plus largement du membre supérieur droit depuis le 7 novembre 2016, que les avis du SMR. d) C’est le lieu de rappeler que les avis médicaux du SMR, de par leur nature,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e) En l’espèce, dans son avis du 23 janvier 2019, le Dr T.________ s’est fondé sur les observations cliniques de l’examen du 7 novembre 2016, en particulier sur l’examen ostéoarticulaire, pour arrêter le terme de l’incapacité de travail à cette date. Pour mémoire, lors de cet examen, la fonction de l’épaule droite était quasi complète et l’index droit présentait un aspect dystrophique depuis l’articulation IPP jusqu’à son extrémité, avec un enroulement incomplet. Il a conclu qu’il n’existait pas de données objectives justifiant la reconnaissance d’une quelconque incapacité de travail dans une « activité adaptée aux compétences de l’assurée ». Dans son avis subséquent du 21 mai 2019, le Dr T.________ considère que l’atteinte objective de l’index droit et de l’ensemble du membre supérieur droit doit être considérée comme modeste et relève les lacunes et contradictions de l’appréciation de la capacité de travail sur le plan somatique. f) En l’occurrence, il apparaît que lors de l’examen clinique du 7 novembre 2016 par l’expert Q.________, la fonction de l’épaule droite était quasi complète, sous réserve d’une élévation limitée à 90 degrés, ce qui autorise à retenir l’absence de modification notable depuis la décision du 3 mai 2012, laquelle admettait déjà une limitation dans les activités nécessitant une abduction et une élévation du membre supérieur droit. S’agissant de l’atteinte à l’index droit, le Dr T.________ considère, sur la base de l’examen clinique du 7 novembre 2016 et du rapport radiologique du 29 mars 2018, que l’atteinte est objectivement modeste. Si le rapport d’expertise du Dr Q.________ mentionne clairement les observations résultant de l’examen ostéoarticulaire du 7 novembre 2016, en revanche, il n’est pas fait état d’un tel examen lors de la consultation du 29 mars 2018. En l’absence de rapport d’examen clinique par un médecin somaticien depuis le 7 novembre 2016, et quand bien même il paraît effectivement pouvoir être admis que l’atteinte à l’index droit est objectivement modeste, il s’avère impossible d’apprécier si celle-ci entraîne des limitations fonctionnelles, respectivement si l’activité habituelle de la recourante est adaptée. La seule mention par le Dr T.________ d’une capacité de travail dans une « activité adaptée aux compétences de l’assurée » ne permet pas de se prononcer. En l’état, il n’est donc pas possible de déterminer si cette atteinte entraîne une modification notable. g) En procédure judiciaire, la recourante a encore fait valoir la survenance d’un SDRC du pied droit, allégation étayée par la production de deux ordonnances d’ergothérapie, délivrées postérieurement à la décision litigieuse. Quand bien même le diagnostic de SDRC à l’origine de l’ergothérapie serait antérieur à la décision attaquée, il n’apparaît pas que cette atteinte entraîne une modification importante de l’état de santé de la recourante. Il sera notamment observé que lors de la première demande déjà, le syndrome d’algo-neurodystrophie aux deux pieds avait déjà retenu après une cure d’hallux valgus (rapport du Dr H.________ du 20 février 2009) pour être considéré sans influence sur la capacité de travail (rapport SMR du 13 juillet 2010 du Dr B.________). A cela s’ajoute qu’aucun rapport médical d’un spécialiste en orthopédie n’atteste d’une péjoration, la prescription de deux ordonnances d’ergothérapie ne suffisant en l’occurrence pas.</w:t>
      </w:r>
    </w:p>
    <w:p>
      <w:r>
        <w:rPr>
          <w:b/>
        </w:rPr>
        <w:t>E. 7</w:t>
      </w:r>
    </w:p>
    <w:p>
      <w:r>
        <w:t>Cela étant, quand bien même les éléments font défaut pour apprécier l’évolution de l’atteinte à l’index droit et ses répercussions sur la capacité de travail de la recourante au-delà du 7 novembre 2016, une instruction médicale complémentaire ne s’impose pas, compte tenu de la jurisprudence en matière de mesures de réadaptation, exposée ci-dessous.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Il arrive que l’octroi préalable de mesures de réadaptation constitue une condition sine qua non , d’un point de vue professionnel, à la valorisation économique de la capacité de travail (TF 9C_254/2011 du 15 novembre 2011 consid. 7). La jurisprudence considère ainsi qu’il existe des situations dans lesquelles, avant de réduire ou de supprimer une rente d’invalidité, y compris dans le cadre d’une décision d’octroi, à titre rétroactif, d’une rente limitée dans le temps (ATF 145 V 209),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sous réserve de cas où l'assuré dispose d'emblée de capacités suffisantes lui permettant une réadaptation par soi-même (TF 8C_510/2020 du 15 avril 2021 consid. 5.2 et les références citées, TF 8C_582/2017 du 22 mars 2018 consid. 6.3 ; TF 9C_183/2015 du 19 août 2015 consid. 5),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in SVR 2011 IV n° 73 p. 220). Demeure ouverte la question de savoir si la réalisation des critères (durée de 15 années d'allocation de la rente ou accomplissement de la 55 e année) doit être examinée par rapport au moment du prononcé de la décision de suppression de la rente ou à celui à partir duquel cette prestation a été supprimée (ATF 145 V 209 consid. 5.4 ; 141 V 5; 138 V 457). Cette question peut néanmoins demeurer indécise dans le cas particulier. c) En effet, si la recourante a bénéficié d’une rente entière d’invalidité limitée dans le temps, elle avait déjà plus de 55 ans au 28 février 2017, date de la suppression de cette rente. Elle appartient ainsi à la catégorie d’assurés dont il convient de présumer qu’ils ne peuvent en principe pas entreprendre de leur propre chef tout ce que l’on peut raisonnablement attendre d’eux pour tirer profit de leur capacité résiduelle de travail, peu importe à cet égard qu’elle présente une invalidité inférieure à 20 % (TF 9C_517/2016 du 7 mars 2017 consid. 5.1 et 5.2). d) Au vu des principes développés ci-avant, la recourante aurait pu prétendre à l’octroi de mesures de réadaptation. En l’occurrence, la recourante a déjà atteint l’âge légal de la retraite, ce qui implique qu’un pronostic soit rétroactivement posé sur les chances de succès de telles mesures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La recourante n’a plus exercé d’activité professionnelle depuis son licenciement au 1 er avril 2013. Elle bénéficie de certificats médicaux constatant son incapacité de travail depuis le 11 février 2014. Elle était ainsi éloignée du monde professionnel depuis quasiment quatre ans à la date du 28 février 2017 et il ne ressort pas des pièces au dossier que la perspective d’un retour en emploi se serait présentée à elle. Objectivement, une réadaptation par soi-même n’aurait pas apparu exigible. Dans le cadre de la procédure de révision, l’OAI a envisagé l’octroi d’une mesure d’orientation professionnelle et a adressé à cet effet une communication à la recourante le 28 mai 2015, demeurée sans suite ensuite de la renonciation par l’intimé lui-même à la mise en œuvre de la mesure, en raison de l’état de santé de la recourante. Aucune mesure de réadaptation n’a été proposée ultérieurement à l’intéressée, ni préconisée par les experts, de telle sorte qu’il ne peut être établi que son aptitude subjective à la réadaptation aurait fait défaut. e) Au vu de ce qui précède, il apparaît que quand bien même une pleine capacité de travail dans son activité habituelle ou dans une activité adaptée pourrait être reconnue à la recourante au-delà du 7 novembre 2016 à la faveur d’une instruction complémentaire, la reprise d’une activité professionnelle n’était pas exigible sans examen de la mise en œuvre préalable de mesures de réadaptation, en particulier d’une mesure d’orientation professionnelle, dont l’intimé ne saurait disconvenir de la nécessité compte tenu de sa communication du 28 mai 2015. En conséquence, il y a lieu de maintenir le droit de la recourante à une rente entière d’invalidité jusqu’au 18 octobre 2019, date de la décision entreprise qui définit le cadre temporel de l’examen du juge (cf. TF 9C_500/2011 du 26 mars 2012 consid. 4 et les références citées). Le dossier sera retourné à l’OAI pour qu’il se prononce sur le maintien du droit à la rente pour la période postérieure au 18 octobre 2019, étant souligné que la personne assurée cesse d'avoir droit à la rente d'invalidité dès qu'elle peut prétendre à la rente de vieillesse de l'AVS (cf. art. 30 LAI). f) La recourante conclut à l’octroi d’une rente entière dès le 11 février 2014. Si l’incapacité de travail a effectivement débuté à cette date, la demande de prestations a été déposée le 9 février 2015, avec pour corollaire que le droit au versement de la rente ne prend naissance que le 1 er août 2015, soit à l’échéance du délai de 6 mois prévu par l’art. 29 al. 1 LAI.</w:t>
      </w:r>
    </w:p>
    <w:p>
      <w:r>
        <w:rPr>
          <w:b/>
        </w:rPr>
        <w:t>E. 8</w:t>
      </w:r>
    </w:p>
    <w:p>
      <w:r>
        <w:t>S’agissant du grief de violation du droit d’être entendu, il peut être renoncé à son examen, son éventuelle admission ne pouvant en l’espèce que contrevenir au principe de la simplicité de la procédure prévalant en droit des assurances sociales.</w:t>
      </w:r>
    </w:p>
    <w:p>
      <w:r>
        <w:rPr>
          <w:b/>
        </w:rPr>
        <w:t>E. 9</w:t>
      </w:r>
    </w:p>
    <w:p>
      <w:r>
        <w:t>a) En définitive, le recours doit être partiellement admis et la décision attaquée réformée en ce sens que G.________ a droit à une rente entière d’invalidité du 1 er août 2015 au 18 octobre 2019, la cause étant pour le surplus retournée à l’office afin qu’il statue sur le droit à la rente pour la période postérieure au 18 octobre 2019. b) La procédure de recours en matière de contestations portant sur l’octroi ou le refus de prestations de l’assurance-invalidité est soumise à des frais de justice (art. 69 al. 1bis LAI). En l’occurrence,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