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387/09 - 293/2012 vom 27. August 2012</w:t>
      </w:r>
    </w:p>
    <w:p>
      <w:r>
        <w:t>VD Tribunal cantonal, 2012-08-27, FR</w:t>
      </w:r>
    </w:p>
    <w:p>
      <w:r>
        <w:rPr>
          <w:b/>
        </w:rPr>
        <w:t xml:space="preserve">Quelle: </w:t>
      </w:r>
      <w:r>
        <w:t>https://mcp.opencaselaw.ch/entscheid/vd_findinfo_AI_387_09_-_293_2012</w:t>
      </w:r>
    </w:p>
    <w:p>
      <w:r>
        <w:t>FR: VD_FINDINFO AI 387/09 - 293/2012 du 27 août 2012</w:t>
      </w:r>
    </w:p>
    <w:p>
      <w:r>
        <w:t>IT: VD_FINDINFO AI 387/09 - 293/2012 del 27 agosto 2012</w:t>
      </w:r>
    </w:p>
    <w:p>
      <w:pPr>
        <w:pStyle w:val="Heading2"/>
      </w:pPr>
      <w:r>
        <w:t>Regeste</w:t>
      </w:r>
    </w:p>
    <w:p>
      <w:r>
        <w:t>AI{ASSURANCE}, DROIT À LA PRESTATION D'ASSURANCE, EXPERTISE PLURIDISCIPLINAIRE, ÉVALUATION DE L'INVALIDITÉ | 28 al. 2 LAI, 4 LAI, 16 LPGA, 7 LPGA, 8 LPGA</w:t>
      </w:r>
    </w:p>
    <w:p>
      <w:pPr>
        <w:pStyle w:val="Heading2"/>
      </w:pPr>
      <w:r>
        <w:t>Erwägungen</w:t>
      </w:r>
    </w:p>
    <w:p>
      <w:r>
        <w:rPr>
          <w:b/>
        </w:rPr>
        <w:t>E. 1</w:t>
      </w:r>
    </w:p>
    <w:p>
      <w:r>
        <w:t>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une décision d'octroi d'une rente d'invalidité limitée dans le temps, a été interjeté en temps utile auprès du tribunal compétent. Respectant les autres conditions de forme prévues par la loi (art. 61 let. b LPGA notamment), il est recevable et il y a lieu d’entrer en matière.</w:t>
      </w:r>
    </w:p>
    <w:p>
      <w:r>
        <w:rPr>
          <w:b/>
        </w:rPr>
        <w:t>E. 2</w:t>
      </w:r>
    </w:p>
    <w:p>
      <w:r>
        <w:t>L'OAI a accordé au recourant une rente entière d'invalidité jusqu'au 31 décembre 2007. La contestation porte sur le refus des prestations à partir de cette date, le recourant concluant à ce que la rente entière continue à lui être versée ensuite. Le début du droit à la rente (juillet 2005) n'est pas contesté. Il s'agit donc d'examiner si, dans la décision attaquée, l'OAI était fondé à retenir une amélioration de l'état de santé au mois de septembre 2007 (à la fin du séjour à la CRR), de sorte que le recourant ne remplissait plus les conditions pour le droit à une rente d'invalidité (trois mois après l'amélioration).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(dans sa teneur en vigueur depuis le 1 er janvier 2006), la rente est échelonnée selon le degré d'invalidité. Il faut que le degré d'invalidité soit d'au moins 40 %. A partir de 70 %, l'assuré a droit à une rente entière. Pour pouvoir fixer le degré d'invalidité, l'administration – en cas de recours, le tribunal – se fonde principalement sur des documents médicaux.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Il faut examiner de manière objective tous les moyens de preuve, quelle qu’en soit la provenance, puis décider si les documents à disposition permettent de porter un jugement valable sur le droit litigieux. Si le tribunal met en œuvre une expertise médicale, les constatations des experts – lorsqu'elles ne sont pas contestées par les parties – ont en principe une pleine valeur probante (à propos de la valeur probante des rapports médicaux, cf. ATF 125 V 351 consid. 3b/cc et les références citées). b) Dans le cas particulier, l'expertise judiciaire permet d'établir clairement que le recourant ne dispose plus d'aucune capacité de travail, ni dans une activité qu'il a pu exercer précédemment, ni dans une activité adaptée à ses limitations, depuis l'accident dont il a été victime en juillet 2004. Il s'ensuit que l'OAI ne pouvait pas lui accorder seulement une rente limitée dans le temps, mais qu'il devait lui reconnaître le droit à une rente entière, sans limite de temps – sous réserve bien entendu d'une amélioration éventuelle de l'état de santé qui devrait être prise en considération dans le cadre d'une procédure de révision (art. 17 LPGA, art. 87 ss RAI [Règlement du 17 janvier 1961 sur l’assurance-invalidité, RS 831.201]). L'OAI a du reste admis, après le dépôt de l'expertise judiciaire, que les constatations médicales des experts devaient conduire à une telle appréciation de la situation. Il s'ensuit que les conclusions du recourant, qui demande une rente entière dès le mois de juillet 2005, sont fondées, et que le recours doit être admis. La décision attaquée doit partant être réformée dans cette mesure.</w:t>
      </w:r>
    </w:p>
    <w:p>
      <w:r>
        <w:rPr>
          <w:b/>
        </w:rPr>
        <w:t>E. 5</w:t>
      </w:r>
    </w:p>
    <w:p>
      <w:r>
        <w:t>Les frais de justice doivent être mis à la charge de l'OAI (art. 61 let. b LPGA; 69 al. 1bis LAI; 49 LPA-VD [loi cantonale vaudoise du 28 octobre 2008 sur la procédure administrative, RSV 173.36]). Le recourant, assisté par une avocate, a droit à des dépens à la charge de l'OAI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