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358/09 - 317/2011 vom 1. Juni 2011</w:t>
      </w:r>
    </w:p>
    <w:p>
      <w:r>
        <w:t>VD Tribunal cantonal, 2011-06-01, FR</w:t>
      </w:r>
    </w:p>
    <w:p>
      <w:r>
        <w:rPr>
          <w:b/>
        </w:rPr>
        <w:t xml:space="preserve">Quelle: </w:t>
      </w:r>
      <w:r>
        <w:t>https://mcp.opencaselaw.ch/entscheid/vd_findinfo_AI_358_09_-_317_2011</w:t>
      </w:r>
    </w:p>
    <w:p>
      <w:r>
        <w:t>FR: VD_FINDINFO AI 358/09 - 317/2011 du 1 juin 2011</w:t>
      </w:r>
    </w:p>
    <w:p>
      <w:r>
        <w:t>IT: VD_FINDINFO AI 358/09 - 317/2011 del 1 giugno 2011</w:t>
      </w:r>
    </w:p>
    <w:p>
      <w:pPr>
        <w:pStyle w:val="Heading2"/>
      </w:pPr>
      <w:r>
        <w:t>Regeste</w:t>
      </w:r>
    </w:p>
    <w:p>
      <w:r>
        <w:t>MODIFICATION{EN GÉNÉRAL}, ÉTAT DE SANTÉ, RÉVISION{DÉCISION}, ÉVALUATION DE L'INCAPACITÉ DE TRAVAIL, DÉCISION DE RENVOI, EXPERTISE MÉDICALE, RENTE D'INVALIDITÉ, DROIT À LA PRESTATION D'ASSURANCE, PRESTATION D'ASSURANCE{AI} | 28 LAI, 4 al. 1 LAI, 17 al. 1 LPGA, 6 LPGA, 7 al. 1 LPGA, 8 al. 1 LPGA</w:t>
      </w:r>
    </w:p>
    <w:p>
      <w:pPr>
        <w:pStyle w:val="Heading2"/>
      </w:pPr>
      <w:r>
        <w:t>Erwägungen</w:t>
      </w:r>
    </w:p>
    <w:p>
      <w:r>
        <w:rPr>
          <w:b/>
        </w:rPr>
        <w:t>E. 4</w:t>
      </w:r>
    </w:p>
    <w:p>
      <w:r>
        <w:t>En l'espèce, il convient d'examiner si, depuis la décision initiale allouant au recourant une rente entière d'invalidité sur la base d'un degré d'invalidité de 100%, celui-ci présente une amélioration de son état de santé, partant de sa capacité de travail dans une activité adaptée, laquelle serait, selon ce qu'a retenu l'OAI, de 50% depuis le début de l’année 2005. a) Au plan ORL, le rapport médical du Dr R.________ du 21 février 2005 ne permet pas de retenir comme établi au degré de la vraisemblance prépondérante, comme l’a fait l’OAI, que l’état de santé du recourant s’est amélioré au point que, depuis le début de l’année 2005, il aurait recouvré une capacité de travail de 50% dans une activité adaptée. Ce spécialiste relève certes qu’en dehors de l’adaptation prothétique, il n’y a pas de problème particulier. Le patient étant en possession de sa prothèse depuis le 12 janvier 2005, une reprise du travail devrait progressivement être envisagée selon ce médecin. Or, dans son rapport du 11 juillet 2005, le Dr R.________ reconnaît que l’adaptation prothétique n’a pas apporté les résultats escomptés quant à l’alimentation, si bien que l’assuré présente encore une asthénie modérée, le problème principal consistant en des troubles de déglutition. Comme le patient nécessite uniquement une nutrition par PEG, la capacité de travail est réduite de 25 à 50%. Le Dr T.________ note quant à lui dans son rapport du 28 août 2006 que l’état du patient est stationnaire au plan ORL. Quant au Dr P.________, il estime dans son certificat du 26 septembre 2007 que la situation est stable sur ce plan, mais observe que le patient ne peut plus déglutir de manière satisfaisante les aliments solides et doit essentiellement se nourrir avec des liquides. Si, en mai 2004, ce spécialiste relevait que dans l’éventualité où l’adaptation prothétique était couronnée de succès, l’assuré pourrait envisager une reprise du travail puisque la faiblesse générale qu’il indiquait ne serait plus présente, ses constatations de septembre 2007 ne permettent pas de considérer que l’adaptation prothétique a été couronnée de succès, l’assuré ne pouvant plus déglutir et devant essentiellement s’alimenter de liquides. Quant à la Dresse Y.________, elle a varié dans ses observations, relevant d’abord que son patient souffrait de complications mécaniques à la suite de l’ablation chirurgicale de son cancer de la langue et de la mâchoire et ne pouvait plus s’alimenter correctement, si bien qu’il n’était plus en mesure de reprendre un travail à plus de 50% (rapport médical du 27 septembre 2007), puis indiquant que tant l’activité habituelle qu’une activité adaptée n’étaient plus exigibles (rapport médical du 22 novembre 2007), ce qu’elle a confirmé par courriers du 31 octobre 2008 et du 27 juillet 2009 à l’OAI. Enfin, le Dr N.________ est d’avis que les difficultés de déglutition et d’élocution de l’assuré ne fondent pas une incapacité de travail (rapport médical du 27 mai 2009). b) Alors que le carcinome et ses suites avaient justifié l’octroi de la rente initiale, le Dr R.________ relève dans son rapport médical du 11 juillet 2005 que le patient présente une nouvelle symptomatologie sous forme d’une claudication intermittente à partir de 50 mètres, qui compromet dans l’immédiat la reprise du travail. La Dresse B.________ diagnostique une artériopathie du membre inférieur droit et une occlusion de l’artère poplitée distale et du tronc tibio-péronier le 5 octobre 2005, diagnostics confirmés par le Dr L.________ dans son rapport d’angio CT du 24 octobre 2005. Le Dr J.________, ancien médecin traitant de l’assuré, pose également le diagnostic d’artériopathie du membre inférieur droit avec sténose modérée et relève que l’on ne peut exiger de l’assuré qu’il exerce une autre activité (rapport médical du 22 mars 2006). La Dresse B.________ indique quant à elle que la seule limitation du patient en relation avec le diagnostic d’artériopathie du membre inférieur droit stade II a – II b a trait au périmètre de marche, limité à 200 mètres. Elle estime que le recourant peut exercer une activité en ce qui concerne son artériopathie dès l’été 2006 (rapport médical du 18 juillet 2006). Or le Dr T.________ constate le 28 août 2006 que l’état général du recourant s’aggrave. Ce praticien est cependant d’avis que si l’activité exercée jusqu’ici n’est plus exigible, une autre activité peut être exigée de l’assuré en évitant bruit, froid et poussières, avec une diminution de rendement. Il n'en demeure pas moins qu'à la lecture de son rapport, on peine à voir quelle activité serait adaptée aux limitations fonctionnelles de l'assuré, puisque la position assise est admise 30 minutes par jour et que la station debout est contre-indiquée. La Dresse Y.________ retient en outre l’insuffisance artérielle des membres inférieurs de grade sévère présentée par son patient pour expliquer l’absence de capacité de travail tant dans l’activité habituelle que dans une activité adaptée. c) Dans ces conditions, on ne saurait considérer que les rapports médicaux conduisant l’OAI à retenir que le recourant présente depuis le début de l’année 2005 une capacité de travail de 50% contiennent une appréciation de la situation médicale et des conclusions claires et convaincantes. En l’état, les pièces médicales au dossier ne permettent pas à la cour de se forger une opinion circonstanciée au sujet de l’état de santé de l’assuré. Dès lors que l’on ne saurait attribuer la valeur probante requise par la jurisprudence (ATF 125 V 351 c. 3a) au rapport médical du Dr R.________ du 21 février 2005, seul médecin, avec le Dr N.________ du SMR (avis médical du 10 mai 2006), à avoir mentionné qu’une reprise d’activité pourrait être envisagée progressivement à compter du mois de janvier 2005, et que ce rapport est contredit par le Dr R.________ lui-même qui admet que l’adaptation prothétique n’a pas eu les effets escomptés, l’asthénie de l’assuré demeurant modérée (rapport médical du 11 juillet 2005), élément confirmé par le Dr P.________ qui constate les difficultés à déglutir et la prise d’une alimentation essentiellement liquide (rapport médical du 26 septembre 2007), il y a lieu d'admettre le recours et d'annuler la décision entreprise en observant que les incertitudes relevées ci-dessus quant à l'évolution de l'état de santé du recourant (détermination claire des troubles somatiques qu'il présente) et de sa capacité de travail ne sont susceptibles d'être levées que par la mise en œuvre d'une expertise, laquelle devra porter sur l’évolution de l’état de santé du recourant aux plans ORL et angiologique depuis la décision d’octroi de rente initiale du 26 juillet 2004. L'expert devra en outre s'attacher à tenir compte de l'état général global de l'assuré, de son affaiblissement probable, s'agissant d'un ancien travailleur manuel se nourrissant exclusivement de liquides. Il conviendra aussi de se demander quelle activité sédentaire serait envisageable pour cet assuré sans formation professionnelle et qui a travaillé toute sa vie comme manœuvre. Il n'est pas opportun que le Tribunal cantonal ordonne lui-même une expertise judiciaire, ni qu'il suspende la cause le temps que l'intimé complète l'instruction. Un renvoi à l'administration, lorsqu'il a pour but d'établir l'état de fait, ne viole ni le principe de simplicité et de rapidité de la procédure, ni le principe inquisitoire (TF 9C_162/2007 du 3 avril 2008 c. 2.3 et les références). En l'occurrence, la solution la plus expédiente consiste à admettre le recours pour le motif que l'on vient d'exposer, à annuler la décision attaquée et à renvoyer l'affaire à l'intimé pour qu'il complète l'instruction dans le sens des considérants et rende une nouvelle décision.</w:t>
      </w:r>
    </w:p>
    <w:p>
      <w:r>
        <w:rPr>
          <w:b/>
        </w:rPr>
        <w:t>E. 5</w:t>
      </w:r>
    </w:p>
    <w:p>
      <w:r>
        <w:t>En conclusion, le recours doit être admis et la décision rendue par l'OAI le 22 juillet 2009 annulée, la cause étant renvoyée à l'OAI pour qu'il complète l'instruction dans le sens des considérants et rende une nouvelle décision. Le présent arrêt est rendu sans frais (art. 61 let. a LPGA). Le recourant, qui obtient gain de cause, a procédé avec l'assistance d'un conseil professionnel. Des dépens doivent donc lui être alloués, en application de l'art. 61 let. g LPGA. Le montant de ces derniers étant déterminé, sans égard à la valeur litigieuse, d'après l'importance et la complexité du litige, il convient de les fixer équitablement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