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355/19 - 188/2020 vom 11. Juni 2020</w:t>
      </w:r>
    </w:p>
    <w:p>
      <w:r>
        <w:t>VD Tribunal cantonal, 2020-06-11, FR</w:t>
      </w:r>
    </w:p>
    <w:p>
      <w:r>
        <w:rPr>
          <w:b/>
        </w:rPr>
        <w:t xml:space="preserve">Quelle: </w:t>
      </w:r>
      <w:r>
        <w:t>https://mcp.opencaselaw.ch/entscheid/vd_findinfo_AI_355_19_-_188_2020</w:t>
      </w:r>
    </w:p>
    <w:p>
      <w:r>
        <w:t>FR: VD_FINDINFO AI 355/19 - 188/2020 du 11 juin 2020</w:t>
      </w:r>
    </w:p>
    <w:p>
      <w:r>
        <w:t>IT: VD_FINDINFO AI 355/19 - 188/2020 del 11 giugno 2020</w:t>
      </w:r>
    </w:p>
    <w:p>
      <w:pPr>
        <w:pStyle w:val="Heading2"/>
      </w:pPr>
      <w:r>
        <w:t>Regeste</w:t>
      </w:r>
    </w:p>
    <w:p>
      <w:r>
        <w:t>REJET DE LA DEMANDE, ASSISTANCE JUDICIAIRE, ADMINISTRATION DES PREUVES, ATTEINTE À LA SANTÉ PSYCHIQUE, ÉVALUATION DE L'INCAPACITÉ DE TRAVAIL | 28 al. 1 LAI, 4 al. 1 LAI, 6 LPGA, 7 al. 1 LPGA, 8 al. 1 LPGA</w:t>
      </w:r>
    </w:p>
    <w:p>
      <w:pPr>
        <w:pStyle w:val="Heading2"/>
      </w:pPr>
      <w:r>
        <w:t>Erwägungen</w:t>
      </w:r>
    </w:p>
    <w:p>
      <w:r>
        <w:rPr>
          <w:b/>
        </w:rPr>
        <w:t>E. 11</w:t>
      </w:r>
    </w:p>
    <w:p>
      <w:r>
        <w:t>Des mesures de réadaptation sont-elles envisageables actuellement ? Si ce n’est pas le cas, pour quelles raisons ? ] Oui, des mesures de réadaptation sont envisageables. [</w:t>
      </w:r>
    </w:p>
    <w:p>
      <w:r>
        <w:rPr>
          <w:b/>
        </w:rPr>
        <w:t>E. 12</w:t>
      </w:r>
    </w:p>
    <w:p>
      <w:r>
        <w:t>Quel est le traitement actuel ? quelle est la fréquence du suivi psychiatrique ? ] Mme T.________ ne prend pas de traitement médicamenteux. Les entretiens ont lieu de manière hebdomadaire. [</w:t>
      </w:r>
    </w:p>
    <w:p>
      <w:r>
        <w:rPr>
          <w:b/>
        </w:rPr>
        <w:t>E. 13</w:t>
      </w:r>
    </w:p>
    <w:p>
      <w:r>
        <w:t>Quel est votre pronostic ? ] Le pronostic est plutôt favorable, Mme T.________ ayant pu retrouver suffisamment confiance en elle et ses compétences pour envisager une reprise professionnelle. Cela restant fragile, une reprise à temps partiel dans un contexte sécurisant ou avec un accompagnement/mesure sécurisante permettrait de stabiliser et de renforcer la confiance développée jusque-là et permettre une poursuite d’évolution positive. [</w:t>
      </w:r>
    </w:p>
    <w:p>
      <w:r>
        <w:rPr>
          <w:b/>
        </w:rPr>
        <w:t>E. 14</w:t>
      </w:r>
    </w:p>
    <w:p>
      <w:r>
        <w:t>Avez-vous pratiqué des examens complémentaires ? (imagerie, laboratoire spécifique, etc.) ] Non, il n’y a pas eu d’autres examens complémentaires de notre part. » Après avoir analysé le dossier médical, le Dr M.________, médecin au SMR, a constaté qu’il n’y avait pas d’atteinte à la santé durablement incapacitante (rapport médical du 16 juillet 2019). Par projet de décision du 19 juillet 2019, l’office AI a informé l’assurée qu’il entendait rejeter sa demande de prestations (mesures professionnelles et rente), au motif qu’elle ne présentait pas d’atteinte à la santé invalidante au sens de la loi et, partant, une incapacité de travail de longue durée. En l’absence de contestation, l’office AI a entériné son refus de toutes prestations par décision formelle du 24 septembre 2019. B. a) Par acte du 25 octobre 2019, T.________ a recouru contre cette décision devant la Cour des assurances sociales du Tribunal cantonal du canton de Vaud, en concluant, sous suite de frais et dépens, à son annulation et à l’octroi des prestations légales, subsidiairement au renvoi du dossier à l’office AI pour complément d’instruction puis nouvelle décision. L’assurée a fait valoir que, contrairement aux constatations du SMR, la Dre C.________ avait posé le diagnostic de trouble de l’adaptation avec réaction mixte anxieuse et dépressive lequel réduisait, selon ce médecin, sa capacité de travail à 70 % dont il convenait encore de déduire 30 % au titre d’une diminution du rendement. Attestée par la psychiatre traitante depuis 2017, cette symptomatologie déployait des effets dans tous les domaines de la vie de l’assurée, celle-ci présentant de surcroît des ressources diminuées. C’était dès lors de façon arbitraire que le SMR avait écarté cette atteinte invalidante dans son avis du 16 juillet 2019, établi au demeurant sans examen clinique par un médecin qui n’était pas spécialisé en psychiatrie. Reprochant à l’office AI d’avoir procédé à une instruction lacunaire sur le plan médical, l’assurée a estimé qu’il convenait de lui renvoyer l’affaire afin qu’il mette en œuvre une expertise externe puis effectue une enquête ménagère à domicile, avant de rendre une nouvelle décision. Si la Cour de céans devait néanmoins considérer que l’instruction était complète, l’assurée sollicitait, suivant les recommandations de la Dre C.________, l’octroi de mesures professionnelles afin de lui permettre de se réintégrer rapidement sur le marché du travail. b) Dans sa réponse du 9 décembre 2019, l’office AI a conclu au rejet du recours. Il a souligné que, dans son rapport du 16 juillet 2019, le SMR avait expliqué de manière convaincante les raisons pour lesquelles il y avait lieu de retenir que l’assurée ne souffrait pas d’une atteinte à la santé invalidante. En effet, il ressortait des documents au dossier que l’intéressée présentait un trouble de l’adaptation sans traitement psychotrope avec une reprise de l’activité professionnelle pouvant aller jusqu’à 100 %. c) Le 20 février 2020, l’assurée a fait savoir qu’elle confirmait intégralement les faits, moyens et conclusions du mémoire de recours du 25 octobre 2019. C. Par décision du 12 novembre 2019, T.________ a été mise au bénéfice de l’assistance judiciaire avec effet au 25 octobre 2019. Elle était exonérée du paiement d’avances et de frais judiciaires de même que de toute franchise mensuelle.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(mesures professionnelles et rente).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Les avis médicaux établis par le SMR constituent des rapports au sens de l’art. 59 al. 2bis LAI (en corrélation avec l’art. 49 al. 1 RAI [règlement du 17 janvier 1961 sur l’assurance-invalidité ; RS 831.201]).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Le fait qu’une expertise psychiatrique – ou tout autre rapport médical –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137 V 210 consid. 6 ; TF 9C_109/2018 du 15 juin 2018 consid. 5.1). 6. En substance, la recourante se prévaut de l’avis de sa psychiatre traitante lui reconnaissant une atteinte invalidante et estime que le SMR a retenu de manière arbitraire l’absence d’atteinte invalidante. Le rapport de synthèse établi par le SMR le 16 juillet 2019 ne repose certes pas sur des observations cliniques auxquelles le médecin aurait personnellement procédé, mais sur une appréciation fondée exclusivement sur une analyse des documents médicaux versés au dossier. Or cette analyse reprend tous les éléments pertinents du dossier et en fait un examen suffisamment circonstancié pour que sa valeur probante soit reconnue et ses conclusions suivies. a) En bref, le SMR a retenu d’abord que, selon le Dr U.________, qui se chargeait du suivi de l’assurée lors du dépôt de la demande de prestations, il n’y avait pas d’atteinte invalidante au sens de l’assurance-invalidité. A cela s’ajoute que, lors du dépôt de la demande de prestations, en avril 2017, l’assurée venait de changer de médecin traitant (Dr P.________) pour avoir un deuxième avis (Dr U.________) ; lorsque ce second médecin n’a pas corroboré l’existence d’une atteinte invalidante, l’assurée a déclaré vouloir encore changer de médecin car elle ne se sentait pas écoutée (cf. rapport du 17 août 2017). Le rapport du bilan de compétences du 16 novembre 2017 indique encore que les analyses effectuées par le troisième médecin consulté (Dr F.________) n’ayant révélé aucune pathologie chez l’assurée, ce nouveau médecin traitant a privilégié la piste d’une problématique de type psychosomatique. Ce n’est que lorsque la recourante a consulté la Dre C.________ qu’elle a obtenu la reconnaissance d’une atteinte partiellement invalidante. Sur le plan somatique, on peut donc d’emblée exclure l’existence d’une atteinte invalidante. Dans son rapport du 16 juillet 2019, le Dr M.________ a relevé que le bilan de compétences n’avait pas révélé de limitations fonctionnelles, celles invoquées par la recourante n’ayant pas été constatées pendant le stage. Si cette dernière a dit avoir ressenti des vertiges durant le stage, en particulier lorsqu’elle travaillait le matin, elle avait toutefois réussi à les gérer et à faire en sorte de dissimuler ses vertiges à ses collègues et à sa responsable. De même, tout en indiquant avoir ressenti beaucoup de fatigue, elle estimait toutefois qu’elle n’était pas plus fatiguée que d’habitude. A l’issue du stage de deux semaines à 50 % dans le domaine de la vente, l’employeur n’avait ainsi détecté aucun signe de fatigue ou de vertiges chez l’assurée. Il a relevé que la priorité était qu’elle puisse travailler la confiance en elle afin de pouvoir reprendre une activité de manière sereine, précisant qu’elle avait entrepris un suivi thérapeutique à cette fin. A l’instar de l’assurée, les responsables du stage ont finalement considéré qu’elle était pleinement en mesure d’exercer une activité dans le domaine de la vente alimentaire, par exemple dans un supermarché. b) Le SMR a ensuite procédé à l’examen des rapports médicaux de la Dre C.________. Cette dernière a constaté que l’assurée souffrait d’un trouble de l’adaptation avec réaction mixte, anxieuse et dépressive (F 43.22) ; en 2018 déjà, elle avait indiqué la possibilité d’une reprise à 70 %, puis à 100 % à moyen terme (cf. rapport du 3 mai 2018). Elle avait ajouté que le rendement était réduit de 30 % sans indiquer dans quelle mesure (heures par jour), avec quel profil du point de vue des charges et depuis quand une activité adaptée au handicap était possible. Elle avait fait état de limitations fonctionnelles sous la forme d’une anxiété, de fatigue et de douleurs physiques, sans toutefois les objectiver et préciser comment elles se manifestaient au travail. Dans l’annexe psychiatrique au rapport médical du 3 mai 2018, la Dre C.________ a retenu que l’assurée présentait une irritabilité lors de périodes de migraine et qu’elle avait des difficultés dans la gestion des émotions en raison d’une hypersensibilité au stress. Elle avait également de la difficulté à se déplacer lors de vertiges liés au stress de même qu’elle présentait une hypersensibilité au stress liée à sa difficulté à gérer ses émotions dans des situations stressantes avec impact sur sa tension et apparition de vertiges et de migraines notamment. En ce qui concernait les fonctions cognitives, la Dre C.________ a noté que la capacité de concentration et d’attention de l’assurée était réduite en raison d’importants maux de tête ; sa capacité d’adaptation au changement était également limitée à cause du stress provenant de la pression que se mettait l’assurée dans des situations nouvelles (lors de stages professionnels par exemple). L’hypersensibilité au stress était par ailleurs susceptible d’affecter de manière fluctuante l’exercice d’activités en contact avec de la clientèle, exigeant de l’endurance et de la rapidité ou impliquant des tâches complexes. Quant à l’exercice d’une activité professionnelle, elle estimait nécessaire une reprise par étapes dans un environnement bienveillant avec peu de pression afin de limiter l’impact du stress. Des éléments décrits par la Dre C.________, il convient de constater qu’il s’agit de l’expression des plaintes de la recourante de nature exclusivement subjective et que ces limitations fonctionnelles liées au stress ressenti par cette dernière ne sont pas objectivées (pas d’exemples d’actes que la recourante ne pourrait plus effectuer en raison de ces limitations fonctionnelles) ; il n’y a ainsi pas d’éléments concrets permettant de constater une incidence de l’atteinte sur la capacité de travail. Selon la Dre C.________ (cf. rapport du 8 juillet 2019), l’évolution de l’état de santé de la recourante était favorable et il n’y avait pas de traitement psychotrope. Les limitations fonctionnelles constatées dans le rapport du 3 mai 2018 étaient rappelées (état d’épuisement associé à une anxiété permanente et à des plaintes somatiques) mais, au jour de son rapport, elle précisait simplement que la recourante souhaitait pouvoir reprendre une activité professionnelle et retrouver une certaine autonomie financière ; elle avait cependant besoin d’un accompagnement rassurant et structurant pour se lancer. Si la psychiatre traitante a relevé l’existence de stress et de situations émotionnelles susceptibles d’avoir une incidence au plan somatique (migraines, douleurs musculaires, fatigue, irritabilité) et de nature à affecter les domaines courants de la vie quotidienne, elle n’a toutefois donné aucun détail ; on constate en outre que lorsqu’elle décrit une journée-type, elle indique que la recourante s’occupe de ses enfants et de son ménage tout en gérant les rendez-vous de la famille. Il ne paraît donc pas y avoir de limitations fonctionnelles incapacitantes entravant l’assurée dans l’accomplissement de ses tâches de la vie quotidienne. La Dre C.________ a par ailleurs relevé que l’assurée disposait de ressources pour gérer ses émotions avec une capacité à mobiliser son énergie pour de nouveaux projets ; elle avait ainsi entrepris des démarches en vue de l’obtention de son permis de conduire et pouvait en outre s’appuyer sur son désir de pouvoir reprendre une activité en comptant sur le soutien de son époux et ses compétences de compréhension et de communication. Elle a d’ailleurs noté qu’une reprise du travail était possible dès le jour du rapport à condition qu’elle s’effectue de manière progressive. Dans l’ensemble, les avis médicaux de la Dre C.________ n’emportent pas la conviction ; la psychiatre traitante a certes posé un diagnostic précis tiré d’une classification reconnue, mais sur la base d’un status psychiatrique décrit sommairement et dont il ne ressort pas qu’il soit propre à occasionner des limitations fonctionnelles, décrites sans portée concrète. Les rapports médicaux de la psychiatre traitante sont en outre contredits par l’autre avis médical au dossier, certes qui n’émane pas d’un psychiatre mais d’un médecin traitant généraliste (Dr U.________) qui n’a émis aucune réserve à son appréciation, en particulier n’a fait aucune allusion à la présence d’un trouble psychique qu’il n’aurait certainement pas manqué de déceler si ledit trouble était grave au point de rendre l’intéressée durablement invalide. L’avis de la psychiatre traitante sur l’existence de limitations fonctionnelles était également contredit par les constatations concrètes faites lors du stage et du bilan de compétences. De plus, ses propres rapports sont imprécis, notamment dans l’appréciation de la capacité de travail qui est peu étayée et souffre d’un manque de cohérence lorsqu’elle indique d’une part, en 2018, que la recourante pouvait travailler à 70 %, puis à 100 % à moyen terme, et, d’autre part, lorsqu’elle constate, en 2019, une évolution favorable mais en indiquant qu’une reprise du travail est envisageable à temps partiel (sans davantage de détails) puis à plus long terme à 100 %. De manière globale, rien dans ses rapports ne conduit à penser que la recourante est atteinte d’un trouble suffisamment grave pour avoir une répercussion sur sa capacité de travail. c) Cela étant, dans son évaluation du 16 juillet 2019, le SMR a fait état, au titre des facteurs limitant la capacité de travail, d’éléments étrangers à l’invalidité relevant du contexte psycho-social difficile de l’assurée. On constate dans ce contexte que la demande importante de soutien de ses parents et la prise en charge de ses enfants ont été mentionnés respectivement par la Dre C.________ (cf. rapport du 8 juillet 2019) et par le Dr U.________, médecin traitant (cf. bilan de compétences du 16 novembre 2017) comme limitations à la reprise d’une activité professionnelle à plein temps par la recourante. d) Compte tenu de l’ensemble de ces circonstances, le SMR a nié le caractère durablement invalidant de l’atteinte. L’appréciation du Dr M.________ repose sur l’ensemble des éléments au dossier, y compris les rapports médicaux de la psychiatre traitante qui ne décrivent pas un grave trouble ayant une incidence sur la capacité de travail et qui confirment que la recourante a des ressources pour faire face aux difficultés, lesquelles ne sont pas toutes d’origine maladive. Les conclusions du SMR sont claires et convaincantes, bien que motivées succinctement, et ne sont pas valablement mises en doute par les autres praticiens. Elles ont ainsi pleine valeur probante, même si elles ne reposent pas sur des examens cliniques effectués personnellement par le Dr M.________. Le résultat auquel est parvenue l’administration intimée ne saurait dès lors être qualifié d’arbitraire. 7. a) La recourante fait grief à l’office intimé d'avoir violé son obligation d'instruction. Elle soutient qu'il ne pouvait nier la nécessité de réaliser une expertise externe à l’assurance, en se fondant sur la seule appréciation du Dr M.________ tandis que sa psychiatre traitante avait abouti à des conclusions divergentes. b) Cette argumentation n'est pas fondée. Selon la jurisprudence, une expertise devrait certes être ordonnée si subsistent des doutes, même faibles, quant à la fiabilité ou la pertinence de constatations effectuées par le SMR (à cet égard, voir ATF 142 V 58 consid. 5.1 ; 135 V 465 consid. 4.4). Ces doutes ne sauraient toutefois découler de la seule existence de rapports médicaux contradictoires, contrairement à ce que laisse entendre l'assurée. Ils doivent au contraire ressortir de l'appréciation des preuves (cf. TF 9C_720/2018 du 1 er février 2019 consid. 4.2). Or, tel n'est pas le cas en l'occurrence. En effet, comme on l’a vu plus haut, le résultat de l’administration des preuves montre que la recourante ne présente pas d’atteinte invalidante au sens de la LAI. Aucun doute ne subsiste à ce propos. On ne peut donc reprocher à l’autorité administrative d’avoir violé son devoir d’instruction en n’ordonnant pas une expertise. 8. En définitive, l’intimé était fondé à retenir que l’assurée ne présentait pas de pathologie entraînant une limitation de sa capacité de travail au sens de la loi sur l’assurance-invalidité. 9. Sur le vu de ce qui précède, le recours doit être rejeté et la décision attaquée confirmée. 10.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été mise au bénéfice de l’assistance judiciaire, ces frais sont laissés provisoirement à la charge de l’Etat, la recourante étant rendue attentive au fait qu’elle est tenue d’en rembourser le montant dès qu’elle sera en mesure de le faire (art. 123 al. 1 CPC [code fédéral de procédure civile du 19 décembre 2008 ; RS 272], applicable par renvoi de l’art. 18 al. 5 LPA-VD). Il incombe au Service juridique et législatif de fixer les modalités de ce remboursement (art. 5 RAJ [règlement cantonal vaudois du 7 décembre 2010 sur l’assistance judiciaire en matière civile ; BLV 211.02.3]). b) Il n’y a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