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340/18 - 232/2019 vom 5. August 2019</w:t>
      </w:r>
    </w:p>
    <w:p>
      <w:r>
        <w:t>VD Tribunal cantonal, 2019-08-05, FR</w:t>
      </w:r>
    </w:p>
    <w:p>
      <w:r>
        <w:rPr>
          <w:b/>
        </w:rPr>
        <w:t xml:space="preserve">Quelle: </w:t>
      </w:r>
      <w:r>
        <w:t>https://mcp.opencaselaw.ch/entscheid/vd_findinfo_AI_340_18_-_232_2019</w:t>
      </w:r>
    </w:p>
    <w:p>
      <w:r>
        <w:t>FR: VD_FINDINFO AI 340/18 - 232/2019 du 5 août 2019</w:t>
      </w:r>
    </w:p>
    <w:p>
      <w:r>
        <w:t>IT: VD_FINDINFO AI 340/18 - 232/2019 del 5 agosto 2019</w:t>
      </w:r>
    </w:p>
    <w:p>
      <w:pPr>
        <w:pStyle w:val="Heading2"/>
      </w:pPr>
      <w:r>
        <w:t>Regeste</w:t>
      </w:r>
    </w:p>
    <w:p>
      <w:r>
        <w:t>NOUVELLE DEMANDE, DÉCISION D'IRRECEVABILITÉ, REJET DE LA DEMANDE, RAPPORT MÉDICAL, ADMINISTRATION DES PREUVES, FARDEAU DE LA PREUVE |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force est de constater que l’assuré n’a pas rendu plausible une modification de son état de santé susceptible d’influencer sur ses droits. Dans ces conditions, l’intimé était fondé à refuser d’entrer en matière sur la nouvelle demande déposée par le recourant le 4 avril 2018. Cela étant, l’assuré garde le droit de saisir l’OAI en tout temps d’une nouvelle demande de prestations. Si les nouveaux éléments recueillis sont de nature à amener une appréciation différente de la situation, l’assureur devra rendre une nouvelle décision (TF 8C_733/2010 du 10 décembre 2010 consid. 5.6).</w:t>
      </w:r>
    </w:p>
    <w:p>
      <w:r>
        <w:rPr>
          <w:b/>
        </w:rPr>
        <w:t>E. 6</w:t>
      </w:r>
    </w:p>
    <w:p>
      <w:r>
        <w:t>a) Le recours doit être rejeté et la décision attaquée confirmée. b) En dérogation à l’art. 61 let. a LPGA, la procédure de recours en matière de contestation portant sur l’octroi ou le refus de prestations de l’assurance-invalidité devant le tribunal cantonal des assurances est soumise à des frais de justice (art. 69 al. 1 bis première phrase LAI). En l’espèce, les frais de justice doivent être fixés à 400 fr. et mis à la charge du recourant, qui succombe. Il n’y a par ailleurs pas lieu d’allouer de dépens, le recourant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