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320/10 - 562/2011 vom 13. Dezember 2011</w:t>
      </w:r>
    </w:p>
    <w:p>
      <w:r>
        <w:t>VD Tribunal cantonal, 2011-12-13, FR</w:t>
      </w:r>
    </w:p>
    <w:p>
      <w:r>
        <w:rPr>
          <w:b/>
        </w:rPr>
        <w:t xml:space="preserve">Quelle: </w:t>
      </w:r>
      <w:r>
        <w:t>https://mcp.opencaselaw.ch/entscheid/vd_findinfo_AI_320_10_-_562_2011</w:t>
      </w:r>
    </w:p>
    <w:p>
      <w:r>
        <w:t>FR: VD_FINDINFO AI 320/10 - 562/2011 du 13 décembre 2011</w:t>
      </w:r>
    </w:p>
    <w:p>
      <w:r>
        <w:t>IT: VD_FINDINFO AI 320/10 - 562/2011 del 13 dicembre 2011</w:t>
      </w:r>
    </w:p>
    <w:p>
      <w:pPr>
        <w:pStyle w:val="Heading2"/>
      </w:pPr>
      <w:r>
        <w:t>Regeste</w:t>
      </w:r>
    </w:p>
    <w:p>
      <w:r>
        <w:t>AI{ASSURANCE}, ATTEINTE À LA SANTÉ PSYCHIQUE, TOXICOMANIE, COMORBIDITÉ | 28 LAI, 4 LAI</w:t>
      </w:r>
    </w:p>
    <w:p>
      <w:pPr>
        <w:pStyle w:val="Heading2"/>
      </w:pPr>
      <w:r>
        <w:t>Erwägungen</w:t>
      </w:r>
    </w:p>
    <w:p>
      <w:r>
        <w:rPr>
          <w:b/>
        </w:rPr>
        <w:t>E. 1</w:t>
      </w:r>
    </w:p>
    <w:p>
      <w:r>
        <w:t>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Interjeté le 14 septembre 2010, dans le délai légal de trente jours dès la notification de la décision entreprise, le recours a été déposé en temps utile (art. 60 al. 1 LPGA) compte tenu des féries auprès du tribunal compétent. Respectant pour le surplus les autres conditions de forme prévues par la loi (art. 61 let. b LPGA), il est recevable.</w:t>
      </w:r>
    </w:p>
    <w:p>
      <w:r>
        <w:rPr>
          <w:b/>
        </w:rPr>
        <w:t>E. 2</w:t>
      </w:r>
    </w:p>
    <w:p>
      <w:r>
        <w:t>Le litige porte sur le droit de la recourante à une rente (entière) d'invalidité, singulièrement sur l'existence d'une atteinte à la santé invalidante au sens de la loi. a) Le droit à une rente (art. 28 LAI) suppose que l'assuré soit invalide ou menacé d'une invalidité imminente (art. 8 al. 1 LAI). Selon l'art. 4 al. 1 LAI, l'invalidité peut résulter d'une infirmité congénitale, d'une maladie ou d'un accident.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Il faut donc établir si et dans quelle mesure un assuré peut, malgré son infirmité mentale, exercer une activité que le marché du travail lui offre, compte tenu de ses aptitudes. Le point déterminant est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127 V 298, consid. 4c in fine; VSI 2001 p. 224, consid. 2b et les références). À teneur de la jurisprudence constante du Tribunal fédéral, une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I 169/06 du 8 août 2006, consid. 2.2 et les arrêts cités; 9C_395/2007 du 15 avril 2008 consid. 2.2, 9C_960/2009 du 24 février 2010, consid. 2.2).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w:t>
      </w:r>
    </w:p>
    <w:p>
      <w:r>
        <w:rPr>
          <w:b/>
        </w:rPr>
        <w:t>E. 3</w:t>
      </w:r>
    </w:p>
    <w:p>
      <w:r>
        <w:t>a) En l'espèce, il ressort du dossier que la recourante a commencé à consommer de la cocaïne et du cannabis vers l'âge de 19 ans, puis de l'héroïne vers l'âge de 25 ans. Sur le plan professionnel, après l'obtention d'un CFC d'employée de commerce en [...], elle a travaillé en qualité de gestionnaire de dossiers auprès de différents employeurs. Depuis 2005, les périodes de travail ont alterné avec des périodes de chômage et de maladie. Suite à la naissance de sa fille en [...] 2006, l'assurée a repris un emploi le 3 janvier 2007 (durée déterminée de six mois). Elle a d'emblée présenté de nombreuses incapacités de travail de quelques jours, puis de manière définitive dès le 24 avril 2007. Depuis cette date, elle n'a plus exercé d'activité professionnelle, mais a bénéficié d'indemnités journalières en cas de maladie versées par l'assureur perte de gain de son employeur jusqu'au 28 juin 2008. b) Sur le plan médical, l'assurée a été admise aux urgences de l'hôpital H.________ le 20 octobre 2007 pour une première crise d'épilepsie, puis pour une décompensation sur le plan neuro-psychologique et neurologique (certificat médical du 29 octobre 2007 du Dr R.________) due à un burn-out complet, un état anxio-dépressif important, une dysomnie sévère et un EEG très instable (courrier du 27 novembre 2007 du Dr R.________ au Dr J.________). Sur le plan psychique, l'assurée a été suivie dès 2007 jusqu'au 23 avril 2008 par le Dr C.________, psychiatre traitant de l'assurée depuis 1999. Le Dr C.________ a estimé que durant cette période, le trouble anxieux n'avait pas d'influence sur la capacité de travail de sa patiente, laquelle avait plus ou moins travaillé en dehors des périodes de consommation (rapport médical du 2 juillet 2009). L'intéressée a finalement séjourné du 7 au 28 juillet 2008 dans le service de psychiatrie adulte de l'hôpital H.________ pour un sevrage de cocaïne avec emploi occasionnel d'héroïne, lequel s'est déroulé dans de bonnes conditions, l'assurée expliquant toutefois souffrir d'angoisse, lui donnant envie de consommer, raison pour laquelle elle a souhaité se rendre à la Fondation P.________ dès le 28 juillet 2008 (courrier du 8 août 2008 des Drs S.________ et K.________ adressé au Dr J.________). La Dresse D.________ médecin répondant de l'assurée à la Fondation P.________ a fait état d'un trouble dépressif récurrent et d'un possible trouble de la personnalité avec des traits dépendants, soulignant que malgré son abstinence, les troubles dépressifs et anxieux persistaient (rapport médical 14 septembre 2009). L'assurée a finalement quitté la fondation précitée le 28 janvier 2010, tout en poursuivant un suivi auprès du Dr V.________, nouveau psychiatre traitant. Ce dernier a considéré que sa patiente abstinente souffrait d'une anxiété généralisée (avec une hypervigilance prédisposant à une plus grande fatigabilité et une moins bonne gestion du stress) et d'un trouble de l'adaptation avec perturbation mixte des émotions et des conduites qui avaient des répercussions sur sa capacité de travail. Il n'a ainsi envisagé une possible reprise d'une activité professionnelle à 50 % qu'au premier trimestre 2011 (rapport médical du 27 avril 2010). c) A la lecture de l'ensemble des rapports précités, il existe un doute sur la question de savoir si la toxicomanie est en l'espèce primaire ou secondaire, distinction qui a des conséquences importantes dans le domaine de l'assurance-invalidité. L'avis médical du SMR du 28 mai 2010 ne saurait dans ce contexte emporter la conviction, dans la mesure où il ne tient absolument pas compte de l'appréciation des Drs D.________ et V.________ (alors qu'il avait sollicité leur détermination par avis médicaux des 31 juillet et 21 décembre 2009). Le SMR s'est en effet focalisé sur la période antérieure au séjour à la Fondation P.________, soit celle relative au sevrage de l'assurée dans le service de psychiatrie adulte de l'hôpital H.________ en juillet 2008, ainsi qu'à sa prise en charge par le Dr C.________ jusqu'en avril 2008. Le SMR ne pouvait toutefois faire totalement abstraction des éléments mis en exergue par les Drs D.________ et V.________, ainsi que dans une certaine mesure par le Dr C.________, en sa qualité de chef de clinique adjoint de la policlinique psychiatrique de T.________ en 1999 (rapport du 17 septembre 1999). Il ressort ainsi de l'anamnèse des médecins précités que l'assurée a débuté dès son adolescence une consommation régulière d'opiacés. En 1999, le Dr C.________ rapportait un éventuel trouble de la personnalité à investiguer et expliquait que cette dépendance avait apporté un soulagement relativement radical sur la symptomatologie anxieuse, ce qui s'est vérifié par la suite puisque l'assurée n'a présenté aucune incapacité de travail, du moins jusqu'en 2005. Par la suite, malgré son abstinence, les troubles dépressifs et anxieux ont persisté, empêchant la recourante de reprendre une activité professionnelle et nécessitant un suivi spécialisé, puis un internement à la Clinique psychiatrique de [...]. Ces éléments contredisent l'avis du Dr C.________ émis en 2008, puisque ce dernier a estimé que sa patiente avait plus ou moins travaillé en dehors des périodes de consommation.</w:t>
      </w:r>
    </w:p>
    <w:p>
      <w:r>
        <w:rPr>
          <w:b/>
        </w:rPr>
        <w:t>E. 5</w:t>
      </w:r>
    </w:p>
    <w:p>
      <w:r>
        <w:t>Dans ces conditions, force est de constater qu'en se fondant sur l'avis médical du SMR du 28 mai 2010, l'intimé n'a pas investigué suffisamment sur l'évolution de l'état de santé psychique de l'assurée. Au surplus, alors que les diagnostics d'anxiété généralisée et de trouble de l'adaptation avec perturbation mixte des émotions et des conduites ont clairement été posés, il n'a notamment pas mandaté d'expert psychiatre, seul apte à déterminer si, du point de vue de l'assurance-invalidité, la toxicomanie est primaire ou secondaire, puis de spécifier l'ensemble des limitations, ainsi que les activités adaptées, pour finalement fixer le taux d'invalidité. Cette instruction complémentaire doit être effectuée par l'OAI et non par la Cour de céans, dès lors qu'il ne s'agit pas seulement d'ordonner une expertise médicale, mais de faire déterminer également par le service de réadaptation de l'OAI les activités adaptées, cas échéant de mettre sur pied un stage d'observation et d'orientation si la situation le permet. Partant, la Cour de céans n'a pas d'autre alternative que d'annuler la décision attaquée et de renvoyer la cause à l'intimé afin qu'il complète l'instruction par la mise en œuvre d'une expertise psychiatrique indépendante (art. 44 LPGA, compte tenu des prises de position du SMR en procédure), respectivement toute mesure utile au regard des affections psychiques présentées par la recourante, puis qu'il rende une nouvelle décision. Vu l'issue du litige, l'arrêt est rendu sans frais (art. 52 al. 1 LPA-VD). Obtenant gain de cause, la recourante, assistée d'un mandataire professionnel, a droit à des dépens, arrêtés à 2'000 fr. (art. 61 let. g LPGA,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