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31/10 - 2/2012 vom 23. Dezember 2011</w:t>
      </w:r>
    </w:p>
    <w:p>
      <w:r>
        <w:t>VD Tribunal cantonal, 2011-12-23, FR</w:t>
      </w:r>
    </w:p>
    <w:p>
      <w:r>
        <w:rPr>
          <w:b/>
        </w:rPr>
        <w:t xml:space="preserve">Quelle: </w:t>
      </w:r>
      <w:r>
        <w:t>https://mcp.opencaselaw.ch/entscheid/vd_findinfo_AI_31_10_-_2_2012</w:t>
      </w:r>
    </w:p>
    <w:p>
      <w:r>
        <w:t>FR: VD_FINDINFO AI 31/10 - 2/2012 du 23 décembre 2011</w:t>
      </w:r>
    </w:p>
    <w:p>
      <w:r>
        <w:t>IT: VD_FINDINFO AI 31/10 - 2/2012 del 23 dicembre 2011</w:t>
      </w:r>
    </w:p>
    <w:p>
      <w:pPr>
        <w:pStyle w:val="Heading2"/>
      </w:pPr>
      <w:r>
        <w:t>Regeste</w:t>
      </w:r>
    </w:p>
    <w:p>
      <w:r>
        <w:t>DEGRÉ DE L'INVALIDITÉ, LOI FÉDÉRALE SUR L'ASSURANCE-INVALIDITÉ, RENTE D'INVALIDITÉ | 28 LAI, 4 LAI, 6 LPGA, 7 LPGA, 8 LPGA</w:t>
      </w:r>
    </w:p>
    <w:p>
      <w:pPr>
        <w:pStyle w:val="Heading2"/>
      </w:pPr>
      <w:r>
        <w:t>Erwägungen</w:t>
      </w:r>
    </w:p>
    <w:p>
      <w:r>
        <w:rPr>
          <w:b/>
        </w:rPr>
        <w:t>E. 5</w:t>
      </w:r>
    </w:p>
    <w:p>
      <w:r>
        <w:t>a) Quant au caractère invalidant du trouble somatoforme douloureux dont souffre la recourante, l'OAI rappelle à juste titre la jurisprudence en la matière et notamment le fait qu'il existe une présomption que les troubles somatoformes douloureux ou leurs effets peuvent être surmontés par un effort de volonté raisonnablement exigible (ATF 131 V 49; 132 V 65 consid. 4.2.1). La jurisprudence a toutefois reconnu qu'il existe des facteurs déterminés qui, par leur intensité et leur constance, rendent la personne incapable de fournir cet effort de volonté, et elle a établi des critères permettant d'apprécier le caractère invalidant de troubles somatoformes douloureux. A cet égard, on retiendra, au premier plan, la présence d'une comorbidité psychiatrique importante par sa gravité, son acuité et sa durée.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(TF I 506/04 du 22 février 2006, consid. 3 et la doctrine citée).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En l'espèce, dans leur rapport du 8 octobre 2009, le Dr F.________ et Mme C.________ exposent que ni la structure de la personnalité, ni une comorbidité psychiatrique, ni une perte d'intégration (la recourante est bien entourée) ne permettent de renverser la présomption qu'une reprise d'activité est exigible par un effort de volonté. Ils relèvent aussi des profits, hors sphère médicale, tirés de la maladie, mais dont on voit qu'il ne permettent pas, aux yeux du médecin et de la psychologue, d'admettre une cristallisation et une fuite dans la maladie comme moyen de soulagement psychique. En outre, le trouble ne s'étend pas non plus sur plusieurs années sans rémission et la recourante a répondu aux traitements administrés dans les règles de l'art (on l'a vu: le rapport du Dr H.________ mentionne une réponse favorable au traitement et celui des HUG décrit une patiente soulagée à l'issue des examens et du traitement subis). Enfin, le Dr F.________ et Mme C.________ relèvent que les déclarations de la recourante quant à la prise régulière de médicaments réputés l'aider sont contredites par les examens effectués et qu'un faisceau d'indices plaide pour une majoration des symptômes. Pour toutes ces raisons, les conclusions présentées par le médecin et la psychologue apparaissent suffisamment claires et convaincantes pour considérer que le trouble somatoforme affectant la recourante ne constitue pas une atteinte à la santé invalidante, au sens de la jurisprudence. Elle reste donc présumée susceptible, par un effort de volonté, de surmonter ses douleurs pour valoriser une capacité de travail qui est actuellement entière. La bonne observance d'un traitement médical pourrait par ailleurs aussi être susceptible de l'aider de ce point de vue. Au vu de ce qui précède, le recours est mal fondé et la décision attaquée doit être confirmée.</w:t>
      </w:r>
    </w:p>
    <w:p>
      <w:r>
        <w:rPr>
          <w:b/>
        </w:rPr>
        <w:t>E. 6</w:t>
      </w:r>
    </w:p>
    <w:p>
      <w:r>
        <w:t>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