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30/22- 296/2022 vom 5. Oktober 2022</w:t>
      </w:r>
    </w:p>
    <w:p>
      <w:r>
        <w:t>VD Tribunal cantonal, 2022-10-05, FR</w:t>
      </w:r>
    </w:p>
    <w:p>
      <w:r>
        <w:rPr>
          <w:b/>
        </w:rPr>
        <w:t xml:space="preserve">Quelle: </w:t>
      </w:r>
      <w:r>
        <w:t>https://mcp.opencaselaw.ch/entscheid/vd_findinfo_AI_30_22-_296_2022___________</w:t>
      </w:r>
    </w:p>
    <w:p>
      <w:r>
        <w:t>FR: VD_FINDINFO AI 30/22- 296/2022 du 5 octobre 2022</w:t>
      </w:r>
    </w:p>
    <w:p>
      <w:r>
        <w:t>IT: VD_FINDINFO AI 30/22- 296/2022 del 5 ottobre 2022</w:t>
      </w:r>
    </w:p>
    <w:p>
      <w:pPr>
        <w:pStyle w:val="Heading2"/>
      </w:pPr>
      <w:r>
        <w:t>Regeste</w:t>
      </w:r>
    </w:p>
    <w:p>
      <w:r>
        <w:t>AFFECTION OCULAIRE, AFFECTION PSYCHIQUE, MAXIME INQUISITOIRE, EXPERTISE, EXPERTISE MÉDICALE, EXPERTISE ORDONNÉE PAR L'ADMINISTRATION, FORCE PROBANTE, DROIT TRANSITOIRE | 43 LPGA, 44 LPGA, 61 let. c LPGA</w:t>
      </w:r>
    </w:p>
    <w:p>
      <w:pPr>
        <w:pStyle w:val="Heading2"/>
      </w:pPr>
      <w:r>
        <w:t>Erwägungen</w:t>
      </w:r>
    </w:p>
    <w:p>
      <w:r>
        <w:rPr>
          <w:b/>
        </w:rPr>
        <w:t>E. 9</w:t>
      </w:r>
    </w:p>
    <w:p>
      <w:r>
        <w:t>a) Sur le vu de ce qui précède, le recours doit être admis et la décision entreprise annulée. b) La procédure de recours en matière de contestations portant sur l’octroi ou le refus de prestations de l’assurance-invalidité est soumise à des frais de justice (art. 69 al. 1 bis LAI). Il convient de les fixer à 600 fr. et de les mettre à la charge de l’OAI,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