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305/11 - 397/2012 vom 14. Dezember 2012</w:t>
      </w:r>
    </w:p>
    <w:p>
      <w:r>
        <w:t>VD Tribunal cantonal, 2012-12-14, FR</w:t>
      </w:r>
    </w:p>
    <w:p>
      <w:r>
        <w:rPr>
          <w:b/>
        </w:rPr>
        <w:t xml:space="preserve">Quelle: </w:t>
      </w:r>
      <w:r>
        <w:t>https://mcp.opencaselaw.ch/entscheid/vd_findinfo_AI_305_11_-_397_2012</w:t>
      </w:r>
    </w:p>
    <w:p>
      <w:r>
        <w:t>FR: VD_FINDINFO AI 305/11 - 397/2012 du 14 décembre 2012</w:t>
      </w:r>
    </w:p>
    <w:p>
      <w:r>
        <w:t>IT: VD_FINDINFO AI 305/11 - 397/2012 del 14 dicembre 2012</w:t>
      </w:r>
    </w:p>
    <w:p>
      <w:pPr>
        <w:pStyle w:val="Heading2"/>
      </w:pPr>
      <w:r>
        <w:t>Regeste</w:t>
      </w:r>
    </w:p>
    <w:p>
      <w:r>
        <w:t>DROIT À LA PRESTATION D'ASSURANCE, PRESTATION D'ASSURANCE{AI}, RECONVERSION PROFESSIONNELLE, MESURE D'ORDRE PROFESSIONNEL, LANGUE, INCAPACITÉ DE GAIN, FORMATION DANS UNE NOUVELLE PROFESSION, STAGE | 17 al. 1 LAI, 28 LAI, 4 al. 1 LAI, 16 LPGA, 8 al. 1 LPGA</w:t>
      </w:r>
    </w:p>
    <w:p>
      <w:pPr>
        <w:pStyle w:val="Heading2"/>
      </w:pPr>
      <w:r>
        <w:t>Erwägungen</w:t>
      </w:r>
    </w:p>
    <w:p>
      <w:r>
        <w:rPr>
          <w:b/>
        </w:rPr>
        <w:t>E. 14</w:t>
      </w:r>
    </w:p>
    <w:p>
      <w:r>
        <w:t>décembre 2012 _______________________ Présidence de               Mme Dessaux Juges :              MM. Métral et Bidiville, assesseur Greffier : M.              Addor ***** Cause pendante entre : P.________ , à Gland, recourant, représenté par l'Autre Syndicat, à Gland, et OFFICE DE L'ASSURANCE-INVALIDITE POUR LE CANTON DE VAUD , à Vevey, intimé. _______________ Art.</w:t>
      </w:r>
    </w:p>
    <w:p>
      <w:r>
        <w:rPr>
          <w:b/>
        </w:rPr>
        <w:t>E. 17</w:t>
      </w:r>
    </w:p>
    <w:p>
      <w:r>
        <w:t>décembre 2010). Cela étant, un essai de reclassement dans l'horlogerie s'est soldé par un échec, compte tenu des lacunes du recourant en français et de ses douleurs dorsales, à quoi s'ajoutait un rendement rarement supérieur à 30% (rapport du Centre Orif du 6 avril 2011). Le 8 octobre 2012, le recourant a produit une attestation datée du 18 septembre 2012, relative au cours suivi du 9 juillet précédent à ce jour. Il a pour le surplus maintenu les conclusions prises dans son écriture du 9 août précédent.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al. 1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auprès du tribunal compétent, a été déposé en temps utile; il répond en outre aux conditions formelles de recevabilité (art. 61 let. b LPGA), de sorte qu'il y a lieu d'entrer en matière sur le fond. b) La LPA-VD (loi cantonale vaudoise du 28 octobre 2008 sur la procédure administrative; RSV 173.36) s'applique aux recours et contestations par voie d'action dans le domaine des assurances sociales (art. 2 al. 1 let. c LPA-VD). La cause doit être tranchée par la Cour des assurances sociales du Tribunal cantonal, composée de trois magistrats (art. 83c al. 1 LOJV [loi cantonale vaudoise d'organisation judiciaire du 12 décembre 1979; RSV 173.01]) et non par un juge unique (cf. art. 94 al. 1 let. a LPA-VD), la valeur litigieuse étant manifestement supérieure à 30'000 fr. s'agissant du reclassement dans une nouvelle profession.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 ensemble, mais se borne à examiner les aspects de cette décision que le recourant a critiqués, exception faite lorsque les points non critiqués ont des liens étroits avec la question litigieuse (cf. ATF 125 V 413 consid. 2c; 110 V 48 consid. 4a; RCC 1985 p. 53). b) Est litigieuse en l’espèce la question du droit du recourant à des mesures de réadaptation professionnelle, en particulier à un reclassement dans une nouvelle profession, plus particulièrement celle de dessinateur en bâtiment. 3. a) Aux termes de l'art. 8 al. 1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environ 20% au moins (ATF 124 V 108 consid. 2b; TF 9C_818/2007 du 11 novembre 2008 consid. 2.2). Ce taux de 20% ne constitue pas une limite absolue, mais un ordre de grandeur (ATF 130 V 488 consid. 4.2).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b) En l'occurrence, le recourant ne conteste ni le refus d'octroi d'une rente d'invalidité, ni le degré d’invalidité calculé par l’office AI, ni la nature des limitations fonctionnelles. L’évaluation du taux d’invalidité par l’office AI s'appuie sur un revenu théorique établi sur la base des données résultant de l'Enquête suisse sur la structure des salaires, ainsi que sur un abattement supplémentaire de 10%. Elle paraît conforme à la loi et à la jurisprudence. Le recourant présente certes un taux d'invalidité de 19.6%, inférieur à la limite de 20% environ fixée par la jurisprudence pour ouvrir le droit à des mesures professionnelles. La proximité de la limite jurisprudentielle de même que l’âge du recourant commandent cependant que soient examinées les autres conditions du droit à la mesure professionnelle que constitue le reclassement. 4.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(TF 9C_644/2008 consid. 3 cité;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consid. 3 cité). Comme toute mesure de réadaptation, les mesures de reclassement doivent par ailleurs être adéquates: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du 12 décembre 2008 consid. 3 et les références citées).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9C_420/2009 du 24 novembre 2009 consid. 5.4; TFA I 268/03 du 4 mai 2004 consid. 2.2; Pratique VSI 3/2002 p. 111 consid. 2 et les références). Partant, si l'aptitude subjective de réadaptation de l'assuré fait défaut, l'administration peut refuser de mettre en oeuvre une mesure ou y mettre fin (TF I 552/06 du 13 juin 2007 consid. 3.1; TFA I 370/98 du 26 août 1999, publié in Pratique VSI 3/2002 p. 111).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5. a) Dans son recours, P.________ cite le point 8 du rapport d'évaluation du Centre Orif du 17 décembre 2010, selon lequel «sur le plan des aptitudes pratiques, M. P.________ devrait fournir un travail important pour répondre aux exigences minimales d'un cursus de formation en tant que dessinateur. Sa problématique au niveau de la langue française devrait, dans ce même laps de temps, être surmontée, ce qui constituerait alors une difficulté supplémentaire». En inférant de ce passage que l'Orif aurait écarté toute impossibilité quant à une éventuelle réadaptation le concernant, le recourant se méprend sur la portée des constatations opérées. En effet, contrairement à ce qu'il soutient, le pronostic de l'Orif n'est pas optimiste et il convient de replacer dans son contexte l'extrait cité dans le recours. Les deux séries de cours intensifs de français, soit des cours quotidiens d'une durée totale supérieure à quatre mois, auraient dû améliorer de façon conséquente la compréhension et la maîtrise de la langue française, surtout s'agissant d'une personne résidant en Suisse francophone depuis 2005 déjà. Certes, les résultats ressortant des rapports finaux (des 28 janvier et 18 août 2010) peuvent être qualifiés de bons. Cette qualification se rapporte cependant à des niveaux d'apprentissage «d'entrée de gamme» (fondamental I, débutant II). Il convient donc de relativiser l'excellence des évaluations. Qui plus est, les rapports d'évaluation du Centre Orif des 17 décembre 2010 et 6 avril 2011 font état des difficultés rencontrées par le recourant en français, tant sur le plan de la communication que sur celui de la compréhension, ce qui prétérite l'accès à une formation professionnelle. Le recourant argue certes de sa motivation à cet égard. De son côté, le Centre Orif souligne que le recourant est animé du souhait de rendre un travail de meilleure qualité possible (cf. rapport d'évaluation du 6 avril 2011). Il n'en demeure pas moins que les conclusions de l'Orif, sur lesquelles se fondent notamment la décision dont est recours, sont objectivement motivées par les observations effectuées au cours des stages du recourant au Centre Orif. Au vrai, le recourant admet qu'il présente des lacunes en français, puisqu'il demande à l'intimé de prendre en charge des cours de français, afin de lui permettre d'achever avec succès une formation professionnelle. b) Le recourant se plaint ensuite du refus de l'intimé de le former à l'exercice d'une activité susceptible de lui procurer un gain comparable à celui qu'il percevait avant son atteinte à la santé. On rappellera en premier lieu qu'il n'existe pas un droit au choix du reclassement professionnel. Dès lors qu'une telle mesure vise à maintenir ou améliorer la capacité de gain d'un assuré, elle ne saurait dépendre de sa seule motivation, si forte soit-elle. Une mesure de réadaptation est bien plutôt conditionnée par les chances de succès que l'on peut en attendre. En d'autres termes, il doit y avoir adéquation entre l'aspect objectif de la mesure projetée et les capacités de l'assuré. Partant, en s'estimant libre de déterminer par lui-même le type de formation qu'il souhaiterait entreprendre, le recourant se trompe sur le sens de la réglementation légale. En l'occurrence, à l'issue du stage aux EPI, une formation de dessinateur en bâtiment a été proposée au recourant, ce qui correspond du reste à ses vœux (cf. ses écritures des 9 août et 8 octobre 2012). Celle-ci a eu lieu au Centre Orif de Morges du 30 août au 14 novembre 2010, sous la forme d'une préformation au sein de la section «dessin en bâtiment». Outre un niveau insuffisant en mathématiques pour entreprendre cette formation, il est apparu que les lacunes de l'assuré en français ont entravé le processus d'observation. Aux difficultés de communications avec ses collègues et ses formateurs, s'est ajoutée une mauvaise compréhension des consignes prétéritant l'exécution des travaux confiés. De plus, un test d'aptitudes théoriques effectué le 10 novembre 2010 a révélé des résultats insuffisants, faisant obstacle à ce qu'une formation de ce type puisse être envisagée. D'autre part, sur le plan des aptitudes pratiques, le recourant devrait fournir un travail important pour répondre aux exigences minimales d'un cursus de formation en tant que dessinateur, ses lacunes en français constituant derechef une difficulté supplémentaire à cet égard. Enfin, s'agissant du caractère adéquat de ce choix professionnel, cette formation s'est avérée incompatible avec les limitations fonctionnelles du recourant, son attitude corporelle ayant fait apparaître un inconfort imputable aux douleurs ressenties (cf. rapport d'observation du 17 décembre 2010). Dès lors, à défaut de pouvoir établir un pronostic de succès, le Centre Orif a considéré qu'une formation de dessinateur en bâtiment (type CFC) n'était pas appropriée aux compétences théoriques et pratiques du recourant, de sorte qu'il l'a écartée. Il ne s'est pas pour autant contenté de ce constat puisqu'il a sollicité une prorogation de la mesure, aux fins de déterminer une autre orientation professionnelle. Au cours de cette nouvelle phase – qui a duré du 22 novembre 2010 au 27 février 2011 –, un stage de deux semaines au sein de l'Unité d'Evaluation et d'Orientation Professionnelle dans la section «horlogerie» de l'Orif ne s'est pas avéré concluant, l'assuré ayant ressenti de vives douleurs, de sorte qu'il n'a pu supporter les positions de travail requises dans ce domaine. Il en est allé de même s'agissant de plusieurs activités pratiques telles que l'électricité, la mécanique et la tôlerie. Le directeur du Centre Orif relève le soin et la précision de l'ouvrage accompli par l'assuré, soucieux de rendre un travail de la meilleure qualité possible. Cependant, faute de pouvoir rester longtemps dans la même position et ayant adopté un rythme de travail lent, le rendement observé n'a pas excédé 30 pour-cent. Sur le plan théorique, il est une nouvelle fois souligné que les difficultés d'apprentissage du recourant dues à une faible compréhension de la langue française, empêchent l'acquisition d'une formation, telle celle de technicien dentiste (cf. rapport d'évaluation du 6 avril 2011). c) Au vu de ce qui précède, c'est donc à juste titre que l'intimé, dans la décision entreprise, a considéré qu'il n'existait pas de mesure professionnelle permettant de réduire le préjudice économique. Sur le plan théorique, la maîtrise déficiente du français – également relevée par les Drs B.________ et Z.________ – empêche l'assuré d'envisager une formation. Celui-ci en est du reste conscient puisqu'il axe l'argumentation de son recours sur cette question, dont il n'a au demeurant pas tort de faire dépendre le succès d'une éventuelle formation. Il reste que, comme le relève les différents rapports d'évaluation, les niveaux atteints sont insuffisants pour permettre l'acquisition d'une formation, que cela soit comme dessinateur en bâtiment ou dans une autre profession (cf. rapports des 17 décembre 2010 et 6 avril 2011 du Centre Orif). S'agissant des aptitudes pratiques, celles-ci mettent en évidence les difficultés rencontrées par le recourant en raison de ses limitations fonctionnelles, causant notamment un sentiment d'inconfort qui nécessite de fréquents changements de position. Il en découle un rendement évalué à 30%, prétéritant manifestement les chances de succès d'une formation de manière générale, de telle sorte que le recourant ne saurait reprocher à l'intimé de ne pas avoir recherché d'autres formations professionnelles susceptibles d'assurer une capacité de gain équivalente à celle qu'il présentait avant son atteinte à la santé. Pour le surplus, on constate que P.________ ne développe son recours que sur le point de la compréhension de la langue française, sans avancer un seul argument pour contester l'évaluation des aptitudes pratiques, plus particulièrement le rendement observé. Faute de discuter et de critiquer ces aspects, il appert que la décision querellée est objectivement fondée pour ce qui concerne le refus de principe d'un reclassement dans une formation autre que celle de dessinateur en bâtiment. 6. a) Selon une jurisprudence constante, le juge des assurances sociales apprécie la légalité des décisions attaquées, en règle générale, d'après l'état de fait existant au moment où la décision litigieuse a été rendue (ATF 131 V 407 consid. 2.1.2.1 p. 412; 129 V 1 consid. 1.2 p. 4 et les arrêts cités). b) Devant la juridiction de céans, le recourant a produit deux attestations datées des 3 février et 18 septembre 2012 relatives à des cours de français suivis entre novembre 2011 et septembre 2012, soit postérieurement à la décision entreprise. Outre que l'on ignore à quel degré de maîtrise de la langue française correspondent les niveaux A1 et A2 dont il est fait état dans ces documents, il ne saurait être tenu compte de ces pièces au regard de la jurisprudence précitée. 7. a) En définitive, le recours, mal fondé, doit être rejeté, ce qui entraîne la confirmation de la décision querellée. b) En dérogation à l'art. 61 let. a LPGA, la procédure de recours en matière de contestations portant sur l'octroi ou le refus de prestations de l'AI devant le tribunal cantonal des assurances est soumise à des frais de justice (art. 69 al. 1bis LAI). Compte tenu de l'ampleur de la procédure, les frais de justice doivent en l'espèce être arrêtés à 300 fr. et être mis à la charge du recourant qui succombe (art. 69 al. 1bis LAI; art. 49 al. 1 LPA-VD). Vu l'issue du litige, le recourant ne peut prétendre des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