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302/09 - 36/2012 vom 23. Januar 2012</w:t>
      </w:r>
    </w:p>
    <w:p>
      <w:r>
        <w:t>VD Tribunal cantonal, 2012-01-23, FR</w:t>
      </w:r>
    </w:p>
    <w:p>
      <w:r>
        <w:rPr>
          <w:b/>
        </w:rPr>
        <w:t xml:space="preserve">Quelle: </w:t>
      </w:r>
      <w:r>
        <w:t>https://mcp.opencaselaw.ch/entscheid/vd_findinfo_AI_302_09_-_36_2012</w:t>
      </w:r>
    </w:p>
    <w:p>
      <w:r>
        <w:t>FR: VD_FINDINFO AI 302/09 - 36/2012 du 23 janvier 2012</w:t>
      </w:r>
    </w:p>
    <w:p>
      <w:r>
        <w:t>IT: VD_FINDINFO AI 302/09 - 36/2012 del 23 gennaio 2012</w:t>
      </w:r>
    </w:p>
    <w:p>
      <w:pPr>
        <w:pStyle w:val="Heading2"/>
      </w:pPr>
      <w:r>
        <w:t>Regeste</w:t>
      </w:r>
    </w:p>
    <w:p>
      <w:r>
        <w:t>RENTE D'INVALIDITÉ, ÉVALUATION DE L'INCAPACITÉ DE TRAVAIL, EXPERTISE PLURIDISCIPLINAIRE, RENTE TEMPORAIRE | 28 al. 1 LAI, 17 al. 1 LPGA, 7 LPGA, 8 LPGA, 88a al. 1 RAI</w:t>
      </w:r>
    </w:p>
    <w:p>
      <w:pPr>
        <w:pStyle w:val="Heading2"/>
      </w:pPr>
      <w:r>
        <w:t>Erwägungen</w:t>
      </w:r>
    </w:p>
    <w:p>
      <w:r>
        <w:rPr>
          <w:b/>
        </w:rPr>
        <w:t>E. 3</w:t>
      </w:r>
    </w:p>
    <w:p>
      <w:r>
        <w:t>a) Aux termes de l’art. 28 al. 1 LAI (loi fédérale du 19 juin 1959 sur l'assurance-invalidité ; RS 831.20),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celle année, il est invalide (art. 8 LPGA) à 40 % au moins. Dans sa teneur en vigueur jusqu’au 31 décembre 2007 – partiellement applicable au présent litige, eu égard au fait que le droit à la rente a pris naissance avant cette date (cf. ATF 130 V 445 et les références) –, cette disposition prévoyait que l’assuré avait droit à un quart de rente s’il était invalide à 40% au moins, à une demie rente s’il était invalide à 50% au moins, à trois-quart de rente s’il était invalide à 60% au moins et à une rente entière pour un taux d’invalidité de 70% au moins (RO 2003 p. 3844). Par ailleurs, l'art. 29 al. 1 LAI, dans sa teneur en vigueur jusqu'au 31 décembre 2007, prévoyait que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 Dans le même sens, l’art. 7 aI. 2 LPGA, entré en vigueur le 1 er janvier 2008, n’a pas modifié les notions d’incapacité de travail, d’incapacité de gain ni d’invalidité (cf. ATF 135 V 215, consid. 7). Sur le fond, la définition de l’invalidité est restée la même. Cette définition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 c’est la méthode ordinaire de comparaison des revenus (cf. art. 16 LPGA ; ATF 130 V 343, consid. 3.4).</w:t>
      </w:r>
    </w:p>
    <w:p>
      <w:r>
        <w:rPr>
          <w:b/>
        </w:rPr>
        <w:t>E. 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références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1.2, 1.3.3, 2.3, 3.3.2, 3.4.2.7 in fine ;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 à ce dernier et qui le place dans une situation délicate pour constater les faits dans un contexte assécurologique ; les constatations d’un expert revêtent donc en principe plus de poids (cf. ATF 125 V 351, consid. 3b/cc et les références).</w:t>
      </w:r>
    </w:p>
    <w:p>
      <w:r>
        <w:rPr>
          <w:b/>
        </w:rPr>
        <w:t>E. 5</w:t>
      </w:r>
    </w:p>
    <w:p>
      <w:r>
        <w:t>a) Sur le plan somatique, les experts du CEMed posent les diagnostics de lombalgies chroniques depuis le 24 juillet 2003 et de troubles sensitifs lombosacrés depuis le 24 juillet 2003, sans explication somatique objectivable. Sur le plan rhumatologique, ils exposent que la recourante présente certes d'importantes lombalgies depuis l'accident de 2003, associées à des troubles sensitifs, mais que les rapports des examens effectués ne révèlent que des discopathies très modérées et aucune lésion objective permettant d'expliquer l'intensité des plaintes actuelles, raison pour laquelle ils considèrent la capacité de travail complète, sans restriction. Il en va de même sur le plan neurologique. En effet, les experts expliquent que la situation est superposable à celle observée lors de l'expertise effectuée en août 2006 par le Dr N.________, dès lors qu'en dehors de quelques troubles sensitifs superficiels et d'une limitation majeure de la mobilité du rachis lombaire contrastant avec l'absence d'anomalies intra-rachidiennes significatives mises en évidence aux examens radiologiques, l'examen clinique est sans anomalie. Que ce soit à l'examen clinique ou aux examens complémentaires, ils n'ont en effet pas constaté d'éléments déterminants permettant d'expliquer du point de vue neurologique les plaintes formulées par la recourante. S'agissant de l'évolution de la capacité de travail sur le plan somatique, les experts estiment que l'incapacité de travail a débuté le jour de l'accident, le 24 juillet 2003, et qu'elle a duré pendant la période prise en compte par la CNA, à savoir jusqu'en février 2007. Sur ce plan, le rapport d'expertise souscrit aux réquisits de la jurisprudence. En effet, il comporte une anamnèse, fait état des plaintes de la recourante et procède à un examen détaillé de son cas. Il est exempt de contradictions et ses conclusions sont claires et motivées. Il n'est par ailleurs mis en doute par aucun rapport médical émanant de spécialiste, de sorte qu'il a valeur probante. Il y a lieu ainsi de retenir une pleine capacité de travail dans l'activité habituelle de la recourante, dès février 2007. b) Sur le plan psychique, le diagnostic de dysthymie, n'ayant pas d'incidence sur la capacité de travail, est retenu par les experts. La recourante, se référant aux pages 21 et 22 de l'expertise, soutient en substance que l'expert psychiatre, qui s’interroge sur le discours de la recourante où rien ne va sur le plan somatique et où tout est si formidable dans sa vie privée, aurait dû demander une investigation psychologique avec des tests de la personnalité, lesquels devraient mettre en évidence une pathologie de personnalité, comme le relève le Dr Q.________ dans la lettre du 18 août 2008. Elle estime en outre que l'expert ne pouvait conclure à l'absence de trouble psychique alors qu'il écrit ne pas être en mesure de confirmer ou d'infirmer l’avis du médecin psychiatre de la recourante, lequel estime que sa patiente souffre d’un état dépressif réactionnel. Elle en déduit que l'expertise contient de nombreuses contradictions et qu'elle n'a donc pas valeur probante. La recourante reproche également à l'OAI de ne pas avoir pris en compte les critiques de son psychiatre traitant à l'égard de l'expertise. Au status (p. 17 de l'expertise), les experts mentionnent que l'observation ne met pas en évidence de signes dépressifs ou anxieux, si ce n'est quelques propos inquiets, aucune idéation morbide ou suicidaire n'étant relevée. Ils indiquent que le discours est plus centré sur les douleurs que sur l'humeur en soi, l'image de soi ne semblant pas touchée hors les problèmes somatiques et qu'il n'y a aucun signe en direction d'un trouble psychotique, aucune évidence de délire, hallucinations, troubles formels ou logiques de la pensée, ni de fuite des idées, aucune tendance digressive et aucune logorrhée particulière. Les experts relèvent (p. 21 de l'expertise) que la recourante n'a que très peu de plaintes, les douleurs se répercutant sur le moral, mais que pour le reste elle a déclaré pouvoir aller très bien sur le plan de l'humeur, décrivant une vie formidable et des amis formidables. Ils mentionnent certes être un peu surpris face un discours où rien ne va sur le plan somatique et où tout est si formidable dans la vie privée, mais indiquent que conformément au status, l'observation est congruente, aucun trouble particulier n'étant observé. Ils confirment cette appréciation en p. 22 de l'expertise en indiquant que l'on ne peut actuellement retenir aucun trouble de l'humeur, ni autre psychopathologie ou trouble de la personnalité. En ce qui concerne l'appréciation du Dr Q.________, les experts relèvent que ce praticien parle d'un état dépressif réactionnel, mais qu'il n'en spécifie pas la gravité. Quant au diagnostic de type névrose de caractère, ils indiquent certes qu'il est difficile d'infirmer ou de confirmer ce diagnostic, mais notent que de toute manière, le fonctionnement de la recourante est globalement toujours resté dans des normes acceptables, malgré la description de son enfance difficile, et que si ce diagnostic était retenu, il permettrait de comprendre comment la recourante a pu fonctionner dans ses divers secteurs de vie. Ils remarquent toutefois qu'elle a pu établir une relation affective fonctionnelle et durable, et qu'elle a été très bien adoptée par sa belle-famille. Enfin, les experts rappellent que lors d'une hospitalisation en janvier 2006, il a été mentionné un épisode dépressif léger dans un contexte de trouble dépressif récurrent. Ils expliquent que s'ils peuvent admettre l'épisode, la récurrence n'est pas évidente, et qu'ils n'ont pas pu mettre en évidence des épisodes dépressifs séparés et significatifs. En conséquence, ils retiennent le diagnostic de dysthymie, sans incidence sur la capacité de travail. Il résulte de ce qui précède que les motifs exposés par les experts les ayant conduits à cette conclusion sont détaillés et exempts de contradictions. Le Dr Q.________, dans son courrier du 18 août 2008, n'apporte aucun élément objectif nouveau, mais une appréciation différente. On relèvera en particulier qu'il émet l'hypothèse qu'une investigation psychologique avec des tests de personnalité devrait mettre en évidence une pathologie de la personnalité, mais comme le relève le Dr X.________, le Dr Q.________, qui suit la recourante de longue date, n'a jamais avancé cette hypothèse dans les rapports médicaux ou courriers qu'il a adressés à l'intimé. De plus, à aucun moment de l'anamnèse ou de l'examen psychiatrique il n'a été mis en évidence de critères-symptômes CIM-10 d'un trouble de la personnalité. L'extrait de compte individuel AVS de la recourante témoigne d'ailleurs d'une insertion durable dans le monde de l'économie de 1981 à 2004. Il y a lieu de remarquer au surplus qu'une expertise ne se fonde par sur des hypothèses mais sur des faits et que tel est bien le cas de la présente expertise, fondée tant sur les éléments ressortant de l'ensemble du dossier que sur l'examen clinique auquel il a été procédé. En conclusion, ce rapport d'expertise, sur le plan psychique également, souscrit aux conditions posées par la jurisprudence pour détenir valeur probante. En effet, il comporte une anamnèse, fait état des plaintes de la recourante et procède à un examen détaillé de son cas. Ses conclusions sont claires et motivées et il est exempt de contradictions. Il n'y a aucun motif de s'en écarter, de sorte que l'on doit admettre que la capacité de travail de la recourante est également entière sur le plan psychiatrique. c) Le dossier étant complet, il n'y a pas lieu d'interpeller le Dr Q.________. La requête de la recourante en ce sens doit donc être rejetée. d) C'est ainsi à juste titre que l'OAI a retenu une pleine capacité de travail dès février 2007 dans l'activité habituelle de la recourante, entraînant la suppression de la rente trois mois plus tard.</w:t>
      </w:r>
    </w:p>
    <w:p>
      <w:r>
        <w:rPr>
          <w:b/>
        </w:rPr>
        <w:t>E. 6</w:t>
      </w:r>
    </w:p>
    <w:p>
      <w:r>
        <w:t>En définitive, le recours doit être rejeté et la décision attaquée confirmée.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