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300/18 - 79/2020 vom 9. März 2020</w:t>
      </w:r>
    </w:p>
    <w:p>
      <w:r>
        <w:t>VD Tribunal cantonal, 2020-03-09, FR</w:t>
      </w:r>
    </w:p>
    <w:p>
      <w:r>
        <w:rPr>
          <w:b/>
        </w:rPr>
        <w:t xml:space="preserve">Quelle: </w:t>
      </w:r>
      <w:r>
        <w:t>https://mcp.opencaselaw.ch/entscheid/vd_findinfo_AI_300_18_-_79_2020</w:t>
      </w:r>
    </w:p>
    <w:p>
      <w:r>
        <w:t>FR: VD_FINDINFO AI 300/18 - 79/2020 du 9 mars 2020</w:t>
      </w:r>
    </w:p>
    <w:p>
      <w:r>
        <w:t>IT: VD_FINDINFO AI 300/18 - 79/2020 del 9 marzo 2020</w:t>
      </w:r>
    </w:p>
    <w:p>
      <w:pPr>
        <w:pStyle w:val="Heading2"/>
      </w:pPr>
      <w:r>
        <w:t>Regeste</w:t>
      </w:r>
    </w:p>
    <w:p>
      <w:r>
        <w:t>NOUVELLE DEMANDE, DROIT À LA PRESTATION D'ASSURANCE, REJET DE LA DEMANDE, ATTEINTE À LA SANTÉ PHYSIQUE, ATTEINTE À LA SANTÉ PSYCHIQUE | 28 LAI, 87 RAI</w:t>
      </w:r>
    </w:p>
    <w:p>
      <w:pPr>
        <w:pStyle w:val="Heading2"/>
      </w:pPr>
      <w:r>
        <w:t>Erwägungen</w:t>
      </w:r>
    </w:p>
    <w:p>
      <w:r>
        <w:rPr>
          <w:b/>
        </w:rPr>
        <w:t>E. 9</w:t>
      </w:r>
    </w:p>
    <w:p>
      <w:r>
        <w:t>Cela étant dit, rien au dossier ne permet de remettre en question l’analyse des experts du Centre Z.________ tant sur le plan somatique que sur le plan psychique. Il ne se justifie ainsi pas de s’écarter de la solution retenue par l’intimé sur la base de leurs conclusions, à savoir que le recourant dispose d’une capacité de travail de 80 % (taux d’activité de 100 % avec diminution de rendement de 20 %) dans une activité adaptée à ses limitations fonctionnelles.</w:t>
      </w:r>
    </w:p>
    <w:p>
      <w:r>
        <w:rPr>
          <w:b/>
        </w:rPr>
        <w:t>E. 10</w:t>
      </w:r>
    </w:p>
    <w:p>
      <w:r>
        <w:t>Reste à déterminer le préjudice économique subi par le recourant.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w:t>
      </w:r>
    </w:p>
    <w:p>
      <w:r>
        <w:rPr>
          <w:b/>
        </w:rPr>
        <w:t>E. 11</w:t>
      </w:r>
    </w:p>
    <w:p>
      <w:r>
        <w:t>En l’occurrence, le préjudice économique subi par le recourant doit être déterminé à l’aune d’une capacité de travail de 80 % dans une activité adaptée. Ce faisant, l’intéressé ne saurait être suivi lorsqu’il soutient que le revenu tiré de l’activité actuelle « d’homme à tout faire » doit être retenu tel quel à titre de revenu d’invalide. En effet, ce revenu se rapporte à un taux d’activité effectif de l’ordre de 50 % alors que la capacité de travail exigible de l’assuré est de 80 %. Selon l’extrait de son compte individuel AVS, l’assuré a réalisé en 2012, date de l’ouverture du droit à la rente, un revenu de 20'984 fr., ce qui correspond, transposé à un taux d’activité de 80 %, à un revenu de 47'974 francs. Ce montant est certes inférieur au revenu d’invalide de 49'936 fr. retenu par l’intimé en application de l’ESS. Il n’ouvre cependant pas pour autant le droit à une rente. En effet, compte tenu d’un revenu sans invalidité de 69'141 fr., la comparaison des revenus conduit à un taux d’invalidité de 30,61 %, soit inférieur au seuil de 40 %. C’est donc à juste titre que l’intimé a refusé au recourant le droit à une rente d’invalidité.</w:t>
      </w:r>
    </w:p>
    <w:p>
      <w:r>
        <w:rPr>
          <w:b/>
        </w:rPr>
        <w:t>E. 12</w:t>
      </w:r>
    </w:p>
    <w:p>
      <w:r>
        <w:t>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 bis LAI). En l’occurrence, les frais sont fixés à 400 fr. et mis à la charge du recourant, qui succombe. Le recourant,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