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299/14 - 239/2015 vom 14. September 2015</w:t>
      </w:r>
    </w:p>
    <w:p>
      <w:r>
        <w:t>VD Tribunal cantonal, 2015-09-14, FR</w:t>
      </w:r>
    </w:p>
    <w:p>
      <w:r>
        <w:rPr>
          <w:b/>
        </w:rPr>
        <w:t xml:space="preserve">Quelle: </w:t>
      </w:r>
      <w:r>
        <w:t>https://mcp.opencaselaw.ch/entscheid/vd_findinfo_AI_299_14_-_239_2015</w:t>
      </w:r>
    </w:p>
    <w:p>
      <w:r>
        <w:t>FR: VD_FINDINFO AI 299/14 - 239/2015 du 14 septembre 2015</w:t>
      </w:r>
    </w:p>
    <w:p>
      <w:r>
        <w:t>IT: VD_FINDINFO AI 299/14 - 239/2015 del 14 settembre 2015</w:t>
      </w:r>
    </w:p>
    <w:p>
      <w:pPr>
        <w:pStyle w:val="Heading2"/>
      </w:pPr>
      <w:r>
        <w:t>Regeste</w:t>
      </w:r>
    </w:p>
    <w:p>
      <w:r>
        <w:t>NOUVELLE DEMANDE, RENTE D'INVALIDITÉ, LOI FÉDÉRALE SUR L'ASSURANCE-INVALIDITÉ, MÉTHODE MIXTE D'ÉVALUATION, ADMISSION PARTIELLE, RENTE TEMPORAIRE | 28 LAI, 29 LAI, 16 LPGA, 17 LPGA, 88a RAI</w:t>
      </w:r>
    </w:p>
    <w:p>
      <w:pPr>
        <w:pStyle w:val="Heading2"/>
      </w:pPr>
      <w:r>
        <w:t>Erwägungen</w:t>
      </w:r>
    </w:p>
    <w:p>
      <w:r>
        <w:rPr>
          <w:b/>
        </w:rPr>
        <w:t>E. 14</w:t>
      </w:r>
    </w:p>
    <w:p>
      <w:r>
        <w:t>septembre 2015 ___________­­­­ Composition :               Mme Berberat , présidente Mme Di Ferro Demierre et Mme Pasche, juges Greffière : Mme              Simonin ***** Cause pendante entre : N.________ , à Lausanne, recourante, représentée par Centre social protestant, à Lausanne, et Y.________ , à Vevey, intimé. _______________ Art. 6, 7, 8, 16, 17 LPGA, 28, 29 LAI, 88a RAI E n  f a i t  : A. N.________ (ci-après : l’assurée ou la recourante), née en 1962, travaillait depuis le 1 er mai 1991 comme employée au guichet à [...]. Elle a présenté des incapacités de travail à des taux variables depuis le 16 décembre 2003 et H.________, assurance perte de gain de l’employeur, a versé des indemnités journalières à compter du 14 février 2004. Le 14 avril 2005, elle a déposé une demande de prestations AI auprès de l’Office de l’assurance-invalidité pour le canton de Vaud (ci-après : OAI), en indiquant souffrir de dépression. Dans un rapport du 6 mars 2004 à H.________, le Dr Q.________, spécialiste en médecine interne générale, médecin traitant, a diagnostiqué un état anxio-dépressif d’intensité moyenne, le traitement ayant débuté le 13 décembre 2003. Il a expliqué que la patiente avait développé des troubles du sommeil, un état de fatigue, un état d’angoisse, des nausées et un état de tristesse, depuis septembre 2003 en relation avec des pressions professionnelles. Dans un rapport du 20 mai 2005 à l’OAI, le Dr Q.________ a posé le diagnostic ayant des répercussions sur la capacité de travail d’épisode anxio-dépressif de sévérité moyenne récidivant existant depuis janvier 1999 et sans effet sur la capacité de travail, une tendinopathie de la coiffe des rotateurs existant depuis 2003. Il a écrit ce qui suit : « 3. La patiente a été vue en janvier 1999 pour un premier épisode anxio-dépressif suite au décès de son père d’une sclérose en plaques en décembre 1998, âgé de 65 ans. Cette prise en charge a permis de pouvoir aider la patiente dans le processus de deuil et elle a reçu un traitement anxiolytique et elle a pu faire face à ses obligations professionnelles et la prise en charge s’est terminée en mai 1999. Elle a été revue en juin 2003 pour des cervico-brachialgies droites qui avaient amené une impotence presque complète mais un examen neurologique pratiqué le 27 juin 2003 était normal de même que l’EMG. Il avait été conclu davantage à une tendinite de la coiffe des rotateurs. La patiente a été revue depuis le 16.12.2003 pour un nouvel état dépressif essentiellement dans le cadre de difficultés professionnelles et un épuisement professionnel lié à des changements d’horaires et des tensions au niveau du travail. Les symptômes étaient essentiellement une inappétence, une insomnie, des angoisses, des nausées et un état de tristesse. Cette situation a nécessité un traitement  anxiolitique puis anti-dépresseur et une incapacité de travail. En mars 2004, elle a consulté à la policlinique psychiatrique. En mars 2004, la situation est devenue telle qu’un tentamen a pu être évité de justesse et qu’elle a ensuite été hospitalisée quelques jours à l’hôpital de [...] par le Dr [...], en mars 2004. 4. La patiente travaille actuellement à 50% mais elle a de la peine à s’adapter aux pressions de stress professionnel et ne pourrait pas travailler à 100% en raison du peu de résistance psychique. Elle ne supporte pas non plus les changements d’horaire et c’est surtout le rythme qui l’éprouve passablement. Actuellement, sa situation est relativement stable, mais elle est très fatiguée. […] ». Le Dr Q.________ a encore précisé qu’à D.________, les autres activités de factrice et de trieuse envisageables n’étaient pas adaptées, en raison des limitations psychiques de l’assurée. Selon lui, l’assurée présentait une capacité de travail de 50% dans une activité adaptée comme par exemple vendeuse, réceptionniste ou opératrice de saisie. Il était également d’avis que l’activité exercée jusqu’ici était possible à 50% et en évitant les horaires irréguliers ou de nuit. Le 24 mai 2005, l’assurée a complété le formulaire 531bis à la demande de l’OAI, dans lequel elle a indiqué que si elle était en bonne santé, elle travaillerait à 75% comme opératrice de saisie, réceptionniste, ou au guichet de la poste et ce depuis 2005 ou 2006. Dans un rapport du 26 mai 2005 à l’OAI, la Dresse T.________, spécialiste en psychiatrie et psychothérapie, à l’Hôpital de [...] -où l’assurée a séjourné du 25 mars au 15 avril 2004 - a posé le diagnostic ayant un effet sur la capacité de travail de trouble dépressif récurrent, épisode actuel sévère, sans symptômes psychotiques, existant depuis 1998. La Dresse T.________ a indiqué que l’assurée présentait une incapacité de travail totale depuis 2003 comme employée à D.________. Selon elle, l’état de santé de l’assurée s’améliorait à sa sortie de l’hôpital, et il pouvait s’améliorer encore avec des mesures médicales. Pour le surplus, elle renvoyait à l’opinion du Dr O.________, psychiatre traitant, précisant que lors de sa sortie de l’hôpital, « rien ne supposait que la patiente ne pouvait pas reprendre son emploi à la poste ». La Dresse T.________ a de plus écrit ce qui suit : « 3. Anamnèse Anamnèse familiale et personnelle : Mme N.________ est la cadette de 4 enfants, elle décrit une enfance assez terne, se sentant souvent « forcée » par ses parents, décrits comme très sévères et rigoureux. Notion d’antécédents de dépression chez une tante maternelle. Son père, décédé en 1998 à l’âge de 65 ans, atteint d’une sclérose en plaques, est tombé malade lorsqu’elle commençait son apprentissage de couturière. Mme N.________ dit s’être beaucoup rapprochée de son père sur la fin de sa vie, en l’assistant alors qu’il était devenu dépendant. Sa mère a subi en 1998 l’ablation d’un sein suite à un cancer ; elle est décrite comme une personne assez froide, avec qui elle n’a plus eu de contact et à laquelle elle peut difficilement se confier. Après avoir terminé son apprentissage (qu’elle avait très peu investi), Mme N.________ a travaillé dans le secrétariat ainsi que dans d’autres branches. Mme N.________ se marie â l’âge de 25 ans, puis se consacre entièrement à l’éducation de ses deux garçons actuellement âgés de 12 et 15 ans. Le couple possède d’abord une entreprise de transports dans laquelle Mme N.________ travaillait comme secrétaire, l’entreprise a dû être abandonnée en 1999 en raison de difficultés financières. Puis son mari travaille pour la ville de [...], au service des sports, comme concierge. Il est décrit comme « très calme et endurant ». Il y a un an environ, Mme N.________ décide de suivre une formation accélérée pour un emploi à D.________, emploi qu’elle poursuit jusqu’à décembre 2003. Depuis lors, elle est en arrêt maladie en raison d’un état anxiodépressif. Antécédent psychiatrique : Mme N.________ relate avoir présenté un premier épisode dépressif, de sévérité moins importante que l’actuel, suite à la mort de son père en 1998. A l’époque, pendant une période d’environ 6 mois, elle avait ressenti de la tristesse liée au manque de son père, dont elle s’était occupée activement pendant la dernière phase de son existence. Cette symptomatologie n’a pas entraîné de diminution significative du fonctionnement social et familial. Aucun traitement médicamenteux spécifique (antidépresseur) n’avait été introduit alors. En dehors de cet épisode, Mme N.________ n’aurait pas présenté jusqu’ici d’autres épisodes de troubles affectifs. 4. Plaintes subjectives La patiente se plaint d’une tristesse, de perte de plaisir, d’idées de dévalorisation et d’un sentiment de culpabilité. Elle se plaint également de difficultés de concentration avec troubles du sommeil, avec difficultés d’endormissement et réveils matinaux précoces. Elle décrit également une baisse de l’appétit avec perte de poids non chiffrée ainsi qu’une fatigue et fatigabilité accrue associée à une perte d’énergie ainsi qu’une irritabilité. 5. Constatations objectives Patiente faisant son âge, de présentation correcte, orientée aux 4 modes, collaborante, légèrement anxieuse durant l’entretien. Elle ne présente pas de troubles formels de la pensée. La thymie est triste, nous notons une perte de plaisir, des idées de dévalorisation, un sentiment de culpabilité vis-à-vis de son entourage et un sentiment d’insuffisance. Nous notons également des difficultés de la concentration. Aucun symptôme psychotique floride net. (…) 7. Thérapie / Pronostic Cet épisode dépressif s’inscrit dans un contexte de conflictualité et de mobbing au travail. Il ne s’agit pas toutefois d’un premier épisode pour cette femme, qui nous a relaté un précédent épisode dépressif en 1998. L’évolution de Mme N.________ a été favorable pendant l’hospitalisation : rapidement, la patiente a pu bénéficier du cadre hospitalier, a pu prendre de la distance par rapport à sa problématique professionnelle. L’humeur s’est améliorée et les idéations suicidaires ont disparu, sous traitement d’antidépresseur avec de la Fluctine à 40 mg/j., bien toléré par la patiente. Sur le plan psychothérapeutique, l’expérience récente de Mme N.________ l’a motivée à poursuivre, après l’hospitalisation, une prise en charge individuelle. C’est ainsi qu’à sa sortie de l’hôpital, Mme N.________ a pris contact avec le Dr O.________ à [...] pour la suite du traitement ». Il ressort d’une note d’entretien entre l’OAI et l’assurée du 1 er novembre 2005 que celle-ci avait cessé d’aller chez le Dr O.________, médecin qu’elle avait consulté depuis sa sortie de [...] au mois de mars 2005 (recte : 2004). Pour le moment, elle était uniquement suivie par le Dr Q.________. Une enquête économique sur le ménage a été réalisée au domicile de l’assurée le 3 mai 2006. Il en ressort que l’assurée avait exercé son activité lucrative selon les taux suivants : 50% de 75% de novembre 2004 à fin avril 2005, 0% de mai à octobre 2005, reprise le 1 er novembre jusqu’à mi-décembre 2005, puis reprise à 75% de son 75% depuis le 1 er janvier 2006. L’enquêtrice n’a pas retenu d’empêchements dans les activités ménagères, toute la famille s’entraidant pour les activités ménagères. L’enquêtrice a fixé la part de l’activité lucrative à 75% et celle de l’activité ménagère à 25%. Dans un rapport du 15 août 2006, la Dresse K.________, spécialiste en psychiatrie et psychothérapie, du Service médical régional de l’AI (ci-après : SMR), a écrit qu’après sa sortie de [...], le 15 avril 2004, l’évolution de l’état de l’assurée avait été lentement favorable, celle-ci ayant pu reprendre son activité professionnelle à des taux variables, les arrêts de travail étant justifiés pour cause de dépression. Dès janvier 2006, elle travaillait de nouveau à 100% de son 75%. Selon la Dresse K.________, la dépression était actuellement en rémission complète et la capacité de travail de l’assurée était de 100% de son taux habituel comme collaboratrice à D.________, depuis janvier 2006. Il ressort d’une fiche d’examen de l’OAI du 10 janvier 2007 que l’assurée travaillait à 50% depuis le mois de juillet 2006. Par décision du 21 février 2007, confirmant un projet de décision du 10 janvier 2007, l’OAI a constaté que l’assurée n’avait pas le droit à des prestations de l’assurance-invalidité. Il s’est fondé sur les motifs suivants : « Vous travaillez à 75% à D.________ depuis le 1 er septembre 2000. Depuis le mois de décembre 2003, suite à une atteinte à la santé, vous avez présenté des épisodes d’incapacités de travail à différents taux et pour des périodes variables. Ces taux (moins de 40%) ainsi que la durée de ces périodes n’ont pas ouvert le droit à des prestations de l’assurance-invalidité. L’évolution favorable de votre atteinte vous a permis de reprendre votre activité professionnelle à 50% depuis l’été passé. Votre incapacité de travail dès lors est de 25%. Une enquête ménagère a été effectuée le 27 avril 2006. Il ressort de cette enquête que vous ne présentez pas d’empêchements dans vos travaux ménagers ». L’assurée n’a pas contesté cette décision, qui est entrée en force. B. Le 20 novembre 2012, le Centre de psychothérapie Z.________ a complété un formulaire de détection précoce concernant l’assurée. Il en ressortait que cette dernière avait divorcé, et que de novembre 2010 jusqu’à octobre 2012, elle faisait des devoirs surveillés pour l’arrondissement scolaire [...], à raison de 6h30 par semaine. Depuis le 9 avril 2012, elle se trouvait en incapacité totale de travail, en raison de « douleurs à la jambe et problèmes d’alcool ». Dans un rapport initial de détection précoce du 10 décembre 2012, l’OAI a écrit ce qui suit : « Une première demande avait été faite en 2005, pour dépression. Selon le rapport SMR du</w:t>
      </w:r>
    </w:p>
    <w:p>
      <w:r>
        <w:rPr>
          <w:b/>
        </w:rPr>
        <w:t>E. 16</w:t>
      </w:r>
    </w:p>
    <w:p>
      <w:r>
        <w:t>LPGA ; cf. ATF 130 V 343 consid. 3.4), méthode spécifique pour un assuré sans activité lucrative (cf. art. 28a al. 2 LAI ; cf. ATF 130 V 97 consid. 3.3.1) et méthode mixte pour un assuré exerçant une activité lucrative à temps partiel (cf. art. 28a al. 3 LAI ; cf. ATF 137 V 334, ATF 130 V 393, et ATF 125 V 146). aa)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bb)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cc)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 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La détection précoce a pour but de prévenir l’invalidité (art. 8 LPGA) de personnes en incapacité de travail (art. 6 LPGA). L’office AI examine la situation personnelle de l’assuré, en particulier son incapacité de travail et les causes et conséquences de celle-ci, et détermine si des mesures d’intervention précoce au sens de l’art. 7d LAI sont indiquées (art. 3c al. 2 LAI). Au besoin, l’office AI ordonne à l’assuré de s’annoncer à l’AI (art. 29 LPGA) (art. 3c al. 6 LAI).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cf. TF I 562/06 du 25 juillet 2007 consid. 2.1 et TFA I 274/2005 du 21 mars 2006 consid. 1.2).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9C_22/2011 du 16 mai 2011 consid. 5).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9C_113/2010 du 25 juin 2010 consid. 3.3).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4. a) Aux termes de l'art. 87 RAI (règlement du 17 janvier 1961 sur l’assurance-invalidité ; RS 831.201) (teneur en vigueur depuis le 1 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(cf. ATF 112 V 371 consid. 2b ; cf. TFA I 716/03 du 9 août 2004 consid. 4.1).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(ATF 109 V 108 consid. 2b ; TF 9C_959/2011 du 6 août 2012 consid. 1.2 et TF 9C_316/2011 du 20 février 2012 consid. 3.2).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w:t>
      </w:r>
    </w:p>
    <w:p>
      <w:r>
        <w:rPr>
          <w:b/>
        </w:rPr>
        <w:t>E. 17</w:t>
      </w:r>
    </w:p>
    <w:p>
      <w:r>
        <w:t>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 5. a) Dans le cas d’espèce, l’OAI est entré en matière sur la nouvelle demande de prestations déposée par N.________ et a repris l’instruction de la cause. Il en ressort notamment que l’assurée, après avoir été licenciée de D.________ avec effet au 1 er novembre 2009, travaillait depuis avril 2011 comme répétitrice scolaire pour les devoirs surveillés, à raison de 6 heures 30 par semaine. b) En ce qui concerne l’état de santé de la recourante au plan physique, il ressort des pièces du dossier qu’elle a fait une chute le 9 avril 2012 laquelle a causé une fracture à sa jambe droite associée à une fracture des malléoles interne et postérieure, traitées le 11 avril 2012 par réduction ouverte et ostéosynthèse des malléoles ainsi qu’un enclouage du tibia. En novembre 2012, l’intéressée a été examinée par la Dresse M.________, qui a relevé que la patiente décrivait des douleurs aux genoux et disait être gênée par le matériel au niveau de la malléole. Elle a posé un pronostic favorable et relevé qu’il faudrait prévoir l’ablation du matériel d’ostéosynthèse une année après l’opération. S’agissant de la capacité de travail de la recourante au plan somatique, vu l’avis largement concordant des médecins somaticiens, le Dr Q.________ et le Dr S.________, il convient de retenir que cette dernière a présenté une incapacité totale de travail depuis le 9 avril 2012 jusqu’au 20 mars 2013 à tout le moins (date du rapport médical du Dr Q.________). En raison de l’ablation du matériel d’ostéosynthèse, l’assurée a de nouveau présenté une incapacité totale de travail du 1 er au 19 mai 2013. Le Dr [...] a attesté la possibilité d’une reprise d’activité à 100% dès le 20 mai 2013. S’agissant de l’évolution postérieure, et comme le relève l’avis SMR du 3 février 2015, aucun indice au dossier ou aucun élément avancé par l’assurée ne permettent de douter que la situation après l’ablation de matériel d’ostéosynthèse en mai 2013 n’a pas évolué favorablement et que l’assurée ne présente pas une capacité de travail entière dans une activité adaptée, compte tenu des limitations fonctionnelles somatiques suivantes : peu de marche et de station debout (cf. avis SMR des 28 mars 2013 et 3 février 2015). Dans ces conditions, la capacité de travail de la recourante au plan somatique étant établie au degré de la vraisemblance prépondérante, il n’y a pas lieu d’ordonner un complément d’instruction, sous la forme d’une expertise orthopédique, comme elle le requiert. c) Du point de vue psychiatrique, les rapports du Dr X.________ et de l’experte W.________ sont partiellement contradictoires. Au plan des diagnostics retenus d’abord, le Dr X.________ a posé celui de trouble de la personnalité émotionnellement labile compulsif ainsi que des troubles liés à l’utilisation de l’alcool, alors que la Dresse W.________ a diagnostiqué un trouble anxieux d’intensité légère présent depuis plusieurs années, incapacitant depuis 2012 et un trouble dépressif récurrent, en rémission au moment de l’expertise, avec un premier épisode en 1998 et un deuxième épisode en 2004. La Dresse W.________ a en particulier expliqué de manière convaincante pourquoi elle ne diagnostiquait pas un trouble de la personnalité émotionnellement labile : en effet, pour retenir un diagnostic de trouble de la personnalité, ce dernier doit, d’après les explications de l’experte, se manifester dès l’enfance, persister à l’adolescence et émerger de manière floride à l’âge adulte, ce qui n’est pas le cas chez l’assurée. L’experte a néanmoins précisé que des traits de la personnalité impulsive étaient présents (cf. expertise p. 23). L’on ne peut donc suivre la recourante dans la mesure où elle reproche à l’experte de ne pas avoir expliqué pourquoi elle s’écartait du diagnostic de trouble de la personnalité émotionnellement labile posé par son psychiatre traitant, lequel n’a au demeurant pas explicité les critères sur lesquels il se fondait pour poser un tel diagnostic, ni les médecins de [...] (voir expertise W.________ p. 8). Les deux autres diagnostics posés par l’experte sont également étayés de manière claire et convaincante, étant fondés sur l’anamnèse et un entretien avec l’expertisée. L’experte a en particulier précisé que « la notion de plusieurs épisodes dépressifs entrecoupés de périodes de rémission permettait de retenir, selon la définition de la CIM-10, le diagnostic de trouble dépressif récurrent. Actuellement ce trouble est en rémission ». Elle a également expliqué que chez la recourante, « le seuil anxiogène est abaissé et s’accompagne d’une anxiété anticipatrice avec parfois des conduites d’évitement. Ces symptômes correspondent, selon la définition de la CIM-10, à un trouble anxieux, sans précisions ». S’agissant de la dépendance à l’alcool, l’experte W.________ a conclu qu’elle était secondaire au trouble dépressif récurrent et au trouble anxieux et n’était pas incapacitante au moment de l’expertise. Cela étant, malgré les divergences au plan diagnostic entre le psychiatre traitant et l’experte, leur appréciation de la capacité de travail de la recourante d’un point de vue psychiatrique concorde largement s’agissant de la période courant de juillet 2012 à fin 2013. Ils sont en effet tous deux d’avis que la recourante était totalement incapable de travailler de juillet 2012 – date de son hospitalisation à [...] pendant une semaine dans le contexte d’une alcoolisation aiguë – à juillet 2013, moment à partir duquel le Dr X.________ a attesté que la recourante pouvait reprendre une activité à 50% dans un cadre adapté. La Dresse W.________ est également d’avis que la recourante pouvait exercer une activité adaptée à 50% depuis mi-juillet 2013. Dans ces conditions, il convient de retenir que l’assurée a effectivement présenté une incapacité totale de travail au plan psychiatrique de juillet 2012 à juillet 2013. On ne saurait donc suivre l’intimé qui considère que la recourante avait recouvré une capacité de travail de 50% dans une activité adaptée à compter de mars 2013, en se fondant sur l’avis du médecin traitant - lequel avait mentionné dans son rapport du 20 mars 2013 une capacité de travail de 50% dans une activité adaptée (soit une activité dans une ambiance calme et sans stress) (cf. l’avis SMR du 3 février 2015). En effet, concernant l’état de santé psychique de la recourante, l’opinion concordante des spécialistes en la matière doit l’emporter. Par ailleurs, on relèvera que le médecin traitant s’était prononcé avant que la mesure auprès d’I.________ ne soit interrompue pour des motifs somatiques (soit en raison de l’opération d’ablation du matériel d’ostéosynthèse effectuée en mai 2013) et psychiatriques (cf. le rapport d’I.________ du 25 juin 2013). En ce qui concerne la période courant à compter de janvier 2014, l’experte relève que l’assurée a de nouveau une relation suivie avec son ami, qu’elle a repris des loisirs et des contacts avec ses diverses amies et qu’elle sort quotidiennement se promener. Elle en conclut ainsi, de manière convaincante, que le trouble dépressif est en rémission. Par ailleurs, elle expose que le trouble dépressif récurrent et le trouble anxieux entraînent comme limitations des variations de la thymie en fonction des circonstances existentielles, une fatigabilité psychique, une vulnérabilité au stress et une diminution des capacités adaptatives et entraînent une diminution de 30% de sa capacité de travail ; l’experte précise que des activités sont exigibles de la part de l’assurée pour autant qu’elles s’exercent dans un environnement avec peu de stress. Ces explications sont dûment motivées, prennent en compte l’anamnèse et les plaintes de l’assurée et emportent ainsi conviction. Le grief de la recourante selon lequel l’expertise est contradictoire car l’experte estime qu’elle peut travailler 6h30 par jour malgré la vulnérabilité au stress et une diminution des capacités adaptatives, est infondé, dès lors que précisément l’experte a tenu compte de ces limitations en retenant que l’assurée avait une diminution de la capacité de travail de 30% et devait travailler dans un environnement avec peu de stress. On ne saurait non plus reprocher à l’experte de n’avoir pas procédé à des tests psychologiques complémentaires, vu la large autonomie dont jouit l'expert dans la manière de conduire son expertise (cf. TF 9C_732/2012 du 26 novembre 2012 consid. 4.2). On relèvera d’ailleurs qu’aucun médecin n’a suggéré la réalisation de tels tests. Enfin, comme cela ressort de l’avis SMR du 12 novembre 2014, le rapport du Dr X.________ du 13 octobre 2014 ne permet pas de mettre en doute les conclusions de l’expertise. En effet, ce médecin ne pose pas un diagnostic différent de ceux retenus par l’experte, excepté le trouble de la personnalité émotionnellement labile que celle-ci a réfuté de manière convaincante (cf. ci-dessus). Au demeurant, il convient de tenir compte du fait qu’en tant que psychiatre traitant, il peut être enclin à prendre le parti de sa patiente. Par conséquent, la capacité de travail de la recourante au plan psychique est établie sur la base d’une expertise probante qui remplit les réquisits jurisprudentiels en la matière. En particulier, les points de divergence avec l’appréciation du psychiatre traitant sont étayés par l’experte de manière convaincante ; de plus l’évolution de la capacité de travail de la recourante jusqu’à la date de la décision litigieuse (cf. TF 9C_899/2013 du 24 février 2014 consid. 4.3 et les références, selon lequel le juge des assurances sociales apprécie la légalité des décisions attaquées, en règle générale, d'après l'état de fait existant au moment de la clôture de la procédure administrative) a pu être établie au degré de la vraisemblance prépondérante, tant du point de vue psychique que somatique (cf. supra b). Dans ces conditions, il n’y a pas lieu d’ordonner un complément d’instruction en la forme d’une nouvelle expertise pluridisciplinaire, ou de la tenue d’une audience en présence des Drs W.________ et X.________, le dossier étant complet, permettant ainsi à la Cour de statuer en pleine connaissance de cause (appréciation anticipée des preuves ; cf. ATF 136 I 229 consid. 5.3, ATF 134 I 140 consid. 5.3). d) Vu ce qui précède, l’on ne peut suivre entièrement l’OAI dans son appréciation de la capacité de travail de la recourante, qui doit être fixée comme suit, vu les atteintes physiques et psychiques de la recourante : 0% dans toute activité du 9 avril 2012 à mi-juillet 2013, 50% de mi-juillet 2013 à fin 2013 dans une activité adaptée (soit une activité dans une ambiance calme, avec peu de stress, avec peu de marche et de station debout) et 70% dès le 1 er janvier 2014 dans une activité adaptée. 6. Il reste à examiner le taux d’invalidité de la recourante pour ces trois différentes périodes, respectivement le droit à la rente, étant donné que la recourante conclut à l’octroi d’une rente d’invalidité à compter du 1 er mai 2013. Dans le cas d’espèce, il y a lieu d’appliquer la méthode mixte d’évaluation de l’invalidité, l’assurée ayant déclaré dans le formulaire 531bis du 28 janvier 2013, ainsi que lors de l’enquête économique sur le ménage réalisée le 31 octobre 2013, que sans atteinte à la santé elle travaillerait à 80% pour des raisons financières (cf. supra consid. 3b). C’est donc à juste titre que l’OAI a retenu un statut d’active à 80% et de ménagère à 20%. La recourante ne le conteste d’ailleurs pas. a) aa) Selon la méthode générale de la comparaison des revenus (applicable à la part active), l'invalidité est évaluée en comparant le revenu que l’assuré pourrait obtenir en exerçant une activité qu'on peut raisonnablement attendre de lui sur un marché du travail équilibré (revenu d'invalide) avec le revenu qu'il aurait obtenu s'il n'était pas devenu invalide (revenu sans 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 TF 9C_446/2008 du 18 septembre 2008, 9C_236/2008 du 4 août 2008 et I 175/04 du 28 janvier 2005 consid. 3;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Ce n'est qu'en cas de circonstances particulières qu'il peut se justifier que l'on s'en écarte et que l'on recoure aux données statistiques résultant de l'Enquête suisse sur la structure des salaires (ci-après: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(TFA B 80/01 du 17 octobre 2003, consid. 5.2.2 et les références citées; voir également TFA I 201/06 du 14 juillet 2006, consid. 5.2.3). Pour estimer le revenu d'invalide lorsque l'assuré n'a pas repris d'activité professionnelle, on peut se référer aux données statistiques, telles qu'elles résultent des enquêtes sur la structure des salaires de l'Office fédéral de la statistique, selon la jurisprudence constante du Tribunal fédéral (ATF 126 V 75 consid. 3b/aa et bb). On se réfère alors à la statistique des salaires bruts standardisés, en se fondant toujours sur la médiane ou valeur centrale.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 Bundesgesetz über den Allgemeinen Teil des Sozialversicherungsrecht (ASTG), in :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(cf. notamment : TF 9C_692/2010 du 31 janvier 2011 consid. 3.5). bb) Vu l’incapacité totale de travail de la recourante dans toute activité d’avril 2012 à juillet 2013, elle a le droit à une rente entière d’invalidité. En effet, le taux d’incapacité de travail se confond dans ce cas avec le taux d’invalidité pour la part active (cf. TF 9C_137/2010 du 19 avril 2010 ; TFA I 337/04 du 22 février 2006 consid. 6) ; dès lors en l’occurrence, pour la seule part active, le taux d’invalidité s’élève à 80% (100% x 80%), à l’ouverture du droit à la rente, soit le 9 avril 2013 (cf. art. 28 al. 1 let. c LAI). Toutefois, la recourante ayant déposé sa demande de prestations AI le 31 décembre 2012, la rente entière est versée à compter du 1 er juin 2013 (art. 29 al. 1 et al. 3 LAI), jusqu’au 31 octobre 2013, soit trois mois après l’amélioration de la capacité de travail constatée à la mi-juillet 2013 (cf. art. 88a al. 1 RAI). cc) S’agissant de la période de mi-juillet 2013 au 31 décembre 2013, et celle à compter du 1 er janvier 2014, il se justifie, comme l’a relevé l’OAI dans sa fiche d’examen du droit à la rente du 3 septembre 2014, de se fonder sur l’ESS pour déterminer le revenu hypothétique sans invalidité, pour la part active, ce qui n’est d’ailleurs pas contesté par la recourante. En effet, il apparaît très vraisemblable que même sans atteinte à la santé celle-ci n’aurait pas conservé son travail auprès de [...], vu ses problèmes d’alcool. De plus, elle a cessé cet emploi le 1 er novembre 2009, soit plus de trois ans avant de déposer sa nouvelle demande de rente le 31 décembre 2012. Par ailleurs, vu le taux d’occupation de l’assurée dans l’activité de surveillante de devoirs (6 heures 30 par semaine), qu’elle a exercée d’avril 2011 jusqu’à l’accident d’avril 2012, il apparaît que le salaire qu’elle a perçu dans ce cadre ne correspond pas à ce qu'elle aurait été en mesure de réaliser selon toute vraisemblance en tant que personne valide, dès lors qu’il est hautement probable qu’elle rencontrait déjà des difficultés professionnelles en raison de son état de santé avant l’accident du mois d’avril 2012. A cet égard, le salaire médian réalisé par les femmes en 2010, dans des activités simples et répétitives, était de 4'225 fr. par mois. Compte tenu d’un horaire de travail hebdomadaire dans les entreprises de 41.7 heures en moyenne en 2013 (La Vie économique, 11-2014, tableau B 9.2), de l’indexation de 1% en 2011 et de 0.8% en 2012 (La Vie économique 9-2013, p. 95, B. 10.2) et de 0.7% en 2013, (les données statistiques concernant la durée du travail et l’indexation en 2014 n’étant pas encore parues dans la revue La Vie économique à la date de l’arrêt de la Cour de céans), c'est un revenu annuel sans invalidité de 43’348 fr. 56 qu’il y a lieu de retenir à 80% (soit 54'185 fr. 70 à 100%) et non de 42'945 fr. comme l’a retenu l’intimé. Pour fixer le revenu d’invalide pour la période courant de mi-juillet 2013 au 31 décembre 2013, et pour celle courant à partir de janvier 2014, il sied également de se fonder sur l’ESS, la recourante n’ayant pas repris d’activité adaptée raisonnablement exigible et ne contestant pas le fait de se référer au salaire statistique. Dès lors, le salaire médian retenu ci-dessus est également déterminant. Cela étant, vu les limitations fonctionnelles physiques et psychiques de la recourante, il apparaît opportun d’appliquer un abattement de 15% sur ce revenu statistique. Dès lors, le revenu d’invalide est de 23'028 fr. 95 pour la première période (27'092 fr. 85 - 4’063 fr. 90) et de 32'240 fr. 50 pour la seconde (37'929 fr. 99 - 5’689 fr. 49). Vu ce qui précède, le taux d’invalidité pour la part active est de 46,9% pour la période de mi-juillet 2013 au 31 décembre 2013 ([43'348 fr. 56 - 23'028 fr. 95] / 43'348 fr. 56 x 100) et de 25.62 % ([43'348 fr. 56 - 32'240 fr. 50] / 43'348 fr. 56 x 100)  depuis le 1 er janvier 2014. b) La recourante conteste en substance la valeur probante du rapport de l’enquête économique sur le ménage du 4 novembre 2013 faisant valoir que ses « divers troubles, d’ordre psychique, diminuent significativement son rendement, respectivement ses capacités domestiques ». aa)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cf. TF 9C_693/2007 du 2 juillet 2008 consid. 3). Il convient enfin de préciser que les empêchements de la personne assurée doivent être évalués en tenant compte de l'aide que l'on peut exiger des proches au titre de l'obligation de réduire le dommage (ATF 130 V 97 consid. 3.2 ; cf. TF I 561/06 du 26 juillet 2007 consid. 5.2.1). bb) En l’espèce, l’enquête économique sur le ménage a été réalisée au domicile de la recourante, de sorte que l’enquêtrice avait connaissance de la situation spatiale, et elle a dûment pris acte des limitations fonctionnelles et des atteintes à la santé de l’intéressée (cf. point 1 du rapport). L’enquêtrice a également tenu compte des indications de cette dernière s’agissant de sa situation médicale et économique. Pour le surplus, le rapport est détaillé et motivé en ce qui concerne les empêchements ménagers retenus, et repose sur les indications données par la recourante. Dès lors, le rapport constitue une base fiable de décision, de sorte qu’il n’y a pas lieu de s’écarter de l’appréciation de l’enquêtrice qui a fixé à 0.95% les empêchements ménagers. On relèvera à cet égard que dans son rapport d’expertise, la Dresse W.________ a indiqué que dans l’activité de ménagère, la capacité de l’assurée était entière. c) Vu ce qui précède, le taux d’invalidité de la recourante pour la période de mi-juillet 2013 au 31 décembre 2013 est de 37,7% (soit [80% x 46.9%] + [20% x 0.95%]). Il est de 20.7 % (soit [80% x 25.65%] + [20% x 0.95%]) dès le 1 er janvier 2014. Ces taux sont insuffisants pour ouvrir le droit à une rente d’invalidité (art. 28 LAI). 7. a) Ainsi le recours est partiellement admis, la décision attaquée étant réformée en ce sens que la recourante a le droit à une rente entière d’invalidité du 1 er juin 2013 au 31 octobre 2013. Il appartiendra à l’OAI de calculer le montant de la rente et des intérêts dus sur les arriérés. En ce qui concerne la période à compter du 1 er novembre 2013, le taux d’invalidité est insuffisant pour maintenir le droit à une rente d’invalidité.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c) En l'espèce, la recourante obtient partiellement gain de cause. Ayant procédé par l’intermédiaire d’une représentante qualifiée du Centre social protestant - Vaud, qui peut se voir accorder des dépens, la recourante a droit à une indemnité de dépens réduits qu’il convient, compte tenu de l’ampleur des activités déployées en procédure judiciaire, de fixer à 600 fr. à la charge de l’OAI (art. 61 let. g LPGA et 55 LPA-VD). L'émolument judiciaire, arrêté à 400 fr., est mis à la charge des deux parties, à raison de 200 fr. chacune (cf. art. 51 LPA-VD) (cf.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