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299/10 - 143/2012 vom 24. April 2012</w:t>
      </w:r>
    </w:p>
    <w:p>
      <w:r>
        <w:t>VD Tribunal cantonal, 2012-04-24, FR</w:t>
      </w:r>
    </w:p>
    <w:p>
      <w:r>
        <w:rPr>
          <w:b/>
        </w:rPr>
        <w:t xml:space="preserve">Quelle: </w:t>
      </w:r>
      <w:r>
        <w:t>https://mcp.opencaselaw.ch/entscheid/vd_findinfo_AI_299_10_-_143_2012</w:t>
      </w:r>
    </w:p>
    <w:p>
      <w:r>
        <w:t>FR: VD_FINDINFO AI 299/10 - 143/2012 du 24 avril 2012</w:t>
      </w:r>
    </w:p>
    <w:p>
      <w:r>
        <w:t>IT: VD_FINDINFO AI 299/10 - 143/2012 del 24 aprile 2012</w:t>
      </w:r>
    </w:p>
    <w:p>
      <w:pPr>
        <w:pStyle w:val="Heading2"/>
      </w:pPr>
      <w:r>
        <w:t>Regeste</w:t>
      </w:r>
    </w:p>
    <w:p>
      <w:r>
        <w:t>RENTE D'INVALIDITÉ, SUPPRESSION DE LA PRESTATION D'ASSURANCE, RÉVISION{PRESTATION D'ASSURANCE} | 4 al. 1 LAI, 16 LPGA, 17 al. 1 LPGA, 8 al. 1 LPGA</w:t>
      </w:r>
    </w:p>
    <w:p>
      <w:pPr>
        <w:pStyle w:val="Heading2"/>
      </w:pPr>
      <w:r>
        <w:t>Erwägungen</w:t>
      </w:r>
    </w:p>
    <w:p>
      <w:r>
        <w:rPr>
          <w:b/>
        </w:rPr>
        <w:t>E. 4</w:t>
      </w:r>
    </w:p>
    <w:p>
      <w:r>
        <w:t>a) Dans le cas présent, il est établi que l'assuré cumule plusieurs atteintes à la santé, notamment une hernie discale C5-C6 opérée par discectomie cervicale et spondylodèse, des cervicalgies, des lombalgies, un syndrome d'apnées du sommeil, un diabète de type II, une hypertension artérielle et une obésité. Se fondant sur les conclusions du Dr U.________, qui a retenu en raison de ces atteintes multiples une incapacité de travail à 100% depuis le 22 juin 1997, l'OAI lui a reconnu, par décision du 5 juin 2001, le droit à une rente entière d'invalidité dès le 1 er juin 1998, confirmée en 2003 au terme d'une première procédure de révision. Il convient donc d'examiner s'il y a eu, par rapport à la situation qui se présentait à cette époque, une modification des circonstances propre à justifier la suppression du droit à la rente. b) Dans le cadre de la procédure de révision initiée en mars 2008, l'assuré a fait l'objet d'un examen rhumatologique par le Dr C.________, qui, dans un rapport du 30 octobre 2008, a retenu une capacité de travail complète depuis novembre 2005 dans une activité adaptée aux limitations fonctionnelles. Le Dr U.________ a pour sa part retenu une capacité de travail limitée à 30% dans une activité légère, compte tenu notamment de l'échec d'une reprise du travail à 50% en 2008. En raison de cette divergence d'appréciation, l'assuré a été soumis à une expertise judiciaire. Dans son rapport du 18 mai 2011, l'expert S.________ a posé les diagnostics de cervicobrachialgie gauche chronique, de status après opération de hernie discale C5-C6, d'arthrose rachidienne dorsale avec séquelles de maladie de Scheuermann, d'arthrose fémoro-patellaire gauche, et de surcharge fonctionnelle avec plusieurs signes de non organicité détectés à l’examen clinique. Il a relevé que l'état arthrosique avait été mis en évidence déjà en 1997 et était actuellement manifeste au genou gauche (arthrose fémoro-patellaire), l'atteinte clinique de ce genou étant d’apparition récente. Au sujet des limitations fonctionnelles, l'assuré ne pouvait soulever de façon régulière des charges supérieures à</w:t>
      </w:r>
    </w:p>
    <w:p>
      <w:r>
        <w:rPr>
          <w:b/>
        </w:rPr>
        <w:t>E. 5</w:t>
      </w:r>
    </w:p>
    <w:p>
      <w:r>
        <w:t>a) Du point de vue économique,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TF 9C_236/2009 du 7 octobre 2009 consid. 3.1; TF 9C_44/2011 du 1 er septembre 2011 consid. 3.1). b)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d) En l'espèce, le recourant conteste disposer d'une pleine capacité de travail dans une activité adaptée, se prévalant notamment de son âge et de ses multiples problèmes de santé. Né le 15 février 1955, l'assuré était âgé de 55 ans au moment de la décision attaquée, de sorte qu'il n'avait pas atteint l'âge qualifié de proche de la retraite à partir duquel la jurisprudence considère qu'il n'existe plus de possibilité réaliste de mise en valeur de la capacité résiduelle de travail sur un marché de l'emploi supposé équilibré (TF 9C_444/2010 du 20 décembre 2010 consid. 2.3; TF 9C_50/2010 du 6 août 2010 consid. 5; TF 9C_578/2009 du 29 décembre 2009 consid. 4.3.2). S'agissant de la détermination du revenu d'invalide, le fait que l'OAI renvoie l'assuré à des activités simples et répétitives dans le secteur privé selon l'ESS, ne saurait être remis en cause. En effet, la jurisprudence retient que le marché du travail offre un éventail suffisamment large d'activités légères, dont on doit convenir qu'un nombre significatif sont adaptées aux limitations fonctionnelles du recourant et accessibles sans aucune formation particulière (TF 9C_1066/2009 du 22 septembre 2010 consid. 4.2; TF 9C_393/2008 du 27 janvier 2009 consid. 3.5; TFA I 228/05 du 15 novembre 2006 consid. 5.2.2). Au demeurant, toujours selon la jurisprudence, il n'y a pas lieu d'examiner dans quelle mesure la situation concrète du marché du travail permettrait au recourant de retrouver un emploi (TF 9C_1066/2009 du 22 septembre 2010 consid. 4.2; TF 9C_715/2009 du 15 avril 2010 consid. 3; TF 9C_31/2010 du 28 septembre 2010 consid. 4.3). Cela étant, le taux d'abattement de 10% du revenu d'invalide retenu par l'OAI n'est pas critiquable. En effet, le recourant vit en Suisse depuis 1980, a travaillé auprès de plusieurs entreprises et a démontré qu'il était capable, lors de son stage d'intégration professionnelle à l'ORIF, d'effectuer des tâches minutieuses en position assise. Enfin, ses facultés réduites en termes de rendement ont dûment été prises en compte par l'expert judiciaire dans la détermination de la capacité de travail dans une activité adaptée (TF I 381/06 du 30 avril 2007 consid. 5.2; TFA I 724/02 du 10 janvier 2003 consid. 4.2.2). Dès lors, en se basant sur le revenu d'invalide de 54'709 fr. 74 retenu à juste titre par l'OAI (correspondant à un revenu ESS dans des activités simples et répétitives, avec un abattement de 10%), dont à déduire une diminution de rendement de 25% telle que retenue par l'expert judiciaire pour la période antérieure à la décision attaquée, seule déterminante, on obtient un revenu d'invalide de 41'032 fr. 30. La comparaison avec un salaire sans invalidité de 58'500 fr. – non contesté par le recourant et correspondant aux données transmises par F.________ Sàrl dans le questionnaire pour l'employeur du 14 août 2009 – conduit à un degré d'invalidité de 29.86%, lequel n'ouvre plus le droit à une rente (art. 28 al. 2 LAI a contrario). C'est donc à bon droit que la rente d'invalidité a été supprimée, cela dès le premier jour du deuxième mois qui a suivi la notification de la décision attaquée (art. 88bis al. 2 let. a RAI [règlement du 17 janvier 1961 sur l'assurance-invalidité, RS 831.201]). e) Partant, le recours doit être rejeté, ce qui conduit à la confirmation de la décision attaquée. Il reviendra au recourant de faire valoir la péjoration de son état de santé, soit un rendement diminué de 50%, comme retenu par l'expert judiciaire, dans le cadre de la procédure administrative qui se poursuit postérieurement à la décision attaquée.</w:t>
      </w:r>
    </w:p>
    <w:p>
      <w:r>
        <w:rPr>
          <w:b/>
        </w:rPr>
        <w:t>E. 7</w:t>
      </w:r>
    </w:p>
    <w:p>
      <w:r>
        <w:t>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Le recourant ayant obtenu la commission d'office d'un avocat en la personne de Me Laurent Maire, à compter du 26 juillet 2010 et jusqu'au terme de la présente procédure (art. 118 al. 1 let. c CPC par renvoi de l'art. 18 al. 5 LPA-VD), il convient de fixer, dans le présent arrêt, la rémunération de ce mandataire. Me Laurent Maire a produit la liste de ses opérations et débours, laquelle est détaillée mais non chiffrée. Les trente heures de travail invoquées au total paraissent excessives, s'agissant de l'étude du dossier, d'entretiens avec le client, de la rédaction d'un recours, d'un échange d'écritures et de déterminations sur un rapport d'expertise; plusieurs actes de procédure se bornent du reste à répéter des arguments déjà invoqués dans le recours. Le temps invoqué tient vraisemblablement au fait que le traitement du dossier a été confié en grande partie à un stagiaire, mais on ne voit pas que la cause ait justifié de réitérées études du dossier, comme mentionné sur la liste de frais. On réduira donc la liste des opérations d'un tiers, soit à 20 heures de travail, à raison de 180 fr. de l'heure, soit à 3'600 fr., plus la TVA par 7.6%, soit un total de 3'873 fr. 60. Les débours peuvent quant à eux être retenus à hauteur du montant invoqué de 334 fr. 15, ascendant ainsi, TVA comprise, à 359 fr. 55. L'indemnité totale est donc arrêtée à 4'233 fr. 15, TVA incluse. c) Les frais judiciaires sont arrêtés à 400 fr. et mis provisoirement, comme vu plus haut, à la charge du canton. Vu l'issue du litige, le recourant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