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294/11 - 326/2012 vom 1. Oktober 2012</w:t>
      </w:r>
    </w:p>
    <w:p>
      <w:r>
        <w:t>VD Tribunal cantonal, 2012-10-01, FR</w:t>
      </w:r>
    </w:p>
    <w:p>
      <w:r>
        <w:rPr>
          <w:b/>
        </w:rPr>
        <w:t xml:space="preserve">Quelle: </w:t>
      </w:r>
      <w:r>
        <w:t>https://mcp.opencaselaw.ch/entscheid/vd_findinfo_AI_294_11_-_326_2012</w:t>
      </w:r>
    </w:p>
    <w:p>
      <w:r>
        <w:t>FR: VD_FINDINFO AI 294/11 - 326/2012 du 1 octobre 2012</w:t>
      </w:r>
    </w:p>
    <w:p>
      <w:r>
        <w:t>IT: VD_FINDINFO AI 294/11 - 326/2012 del 1 ottobre 2012</w:t>
      </w:r>
    </w:p>
    <w:p>
      <w:pPr>
        <w:pStyle w:val="Heading2"/>
      </w:pPr>
      <w:r>
        <w:t>Regeste</w:t>
      </w:r>
    </w:p>
    <w:p>
      <w:r>
        <w:t>RENTE D'INVALIDITÉ, MOTIF DE RÉVISION, RÉVISION{PRESTATION D'ASSURANCE} | 1 LAI, 28 al. 2 LAI, 4 al. 1 LAI, 69 al. 1 let. a LAI, 69 al. 1bis LAI, 17 al. 1 LPGA, 44 LPGA, 6 LPGA, 61 let. b LPGA, 61 let. c LPGA, 7 LPGA, 8 al. 1 LPGA, 88a al. 1 RAI, 93 al. 1 let. a LPA-VD</w:t>
      </w:r>
    </w:p>
    <w:p>
      <w:pPr>
        <w:pStyle w:val="Heading2"/>
      </w:pPr>
      <w:r>
        <w:t>Erwägungen</w:t>
      </w:r>
    </w:p>
    <w:p>
      <w:r>
        <w:rPr>
          <w:b/>
        </w:rPr>
        <w:t>E. 4</w:t>
      </w:r>
    </w:p>
    <w:p>
      <w:r>
        <w:t>a) Il résulte de ce qui précède que le recours doit être admis, la décision du 28 septembre 2011 annulée en tant qu'elle met fin au droit à une rente après le 31 octobre 2011, et la cause renvoyée à l’Office de l’assurance-invalidité pour le canton de Vaud pour instruction complémentaire sous forme d’une expertise pluridisciplinaire conforme à l’article 44 LPGA, puis nouvelle décision.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mis à la charge de l'intimé. c) La recourante, qui obtient gain de cause, a droit à des dépens (art. 61 let. g LPGA), qu'il convient de fixer à 1'800 francs TVA comprise. Vu l'octroi de cette indemnité qui couvre entièrement le montant dû au titre de l'assistance judicaire, et fixée au vu de l'importance de la cause, de l'ampleur de ses difficultés et du temps consacré au travail par le conseil de la recourante, il n'y a pas lieu de fixer le montant des honoraires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