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292/23 - 147/2024 vom 16. Mai 2024</w:t>
      </w:r>
    </w:p>
    <w:p>
      <w:r>
        <w:t>VD Tribunal cantonal, 2024-05-16, FR</w:t>
      </w:r>
    </w:p>
    <w:p>
      <w:r>
        <w:rPr>
          <w:b/>
        </w:rPr>
        <w:t xml:space="preserve">Quelle: </w:t>
      </w:r>
      <w:r>
        <w:t>https://mcp.opencaselaw.ch/entscheid/vd_findinfo_AI_292_23_-_147_2024___________</w:t>
      </w:r>
    </w:p>
    <w:p>
      <w:r>
        <w:t>FR: VD_FINDINFO AI 292/23 - 147/2024 du 16 mai 2024</w:t>
      </w:r>
    </w:p>
    <w:p>
      <w:r>
        <w:t>IT: VD_FINDINFO AI 292/23 - 147/2024 del 16 maggio 2024</w:t>
      </w:r>
    </w:p>
    <w:p>
      <w:pPr>
        <w:pStyle w:val="Heading2"/>
      </w:pPr>
      <w:r>
        <w:t>Regeste</w:t>
      </w:r>
    </w:p>
    <w:p>
      <w:r>
        <w:t>RÉVISION{DÉCISION}, ÉTAT STABLE, EXPERTISE PSYCHIATRIQUE | 17 LPGA</w:t>
      </w:r>
    </w:p>
    <w:p>
      <w:pPr>
        <w:pStyle w:val="Heading2"/>
      </w:pPr>
      <w:r>
        <w:t>Erwägungen</w:t>
      </w:r>
    </w:p>
    <w:p>
      <w:r>
        <w:rPr>
          <w:b/>
        </w:rPr>
        <w:t>E. 8</w:t>
      </w:r>
    </w:p>
    <w:p>
      <w:r>
        <w:t>a) L’OAI a confié la réalisation d’une expertise psychiatrique du recourant au Dr X.________, qui l’a examiné les 17 avril et 5 juin 2023. Dans son rapport du 7 juin 2023, l’expert a posé les diagnostics – avec effet sur la capacité de travail – de trouble dépressif récurrent moyen avec syndrome somatique depuis 2017 au présent (F33.11), de dépendance à plusieurs substances (cannabis et benzodiazépines avec utilisation continue, opiacés avec utilisation épisodique, éthylique et à la cocaïne actuellement abstinent ; F19.2), de trouble de l’attention avec hyperactivité léger mais significatif cliniquement depuis l’enfance (F90) et de trouble de la personnalité émotionnellement labile de type impulsif, dépendante et dyssociale actuellement non décompensé qui le limite dans certaines activités mais pas dans d’autres activités (F61.0). Le Dr X.________ a estimé la capacité de travail de l’assuré à 70 % dans toute activité depuis 2017. Sur cette base, l’OAI a entériné les conclusions de l’expert et calculé un degré d’invalidité de 33,5 %, niant que les conditions d’octroi d’une rente soient réunies. b) Le recourant déplore pour l’essentiel que l’expert psychiatre n’ait pas fait réaliser un volet neuropsychologique, alors qu’il est d’avis qu’un trouble neuropsychologique a « à l’évidence » une influence sur sa capacité de travail. Il estime ensuite que les conclusions de l’expert selon lesquelles il aurait des ressources personnelles satisfaisantes sont en contradiction avec les diagnostics retenus, son parcours de vie et son quotidien, ainsi qu’avec les rapports du Dr H.N.________ et de Mme H.O.________. c) Malgré les griefs du recourant, l’expertise réalisée par le Dr X.________ répond aux réquisits jurisprudentiels et permet d’établir les faits pertinents en vue de la résolution du litige. En particulier, le rapport d’expertise psychiatrique au dossier permet d’évaluer l’évolution de l’état de santé du recourant depuis la décision du 4 mai 2012 par laquelle l’intimé avait nié le droit de l’intéressé à des prestations de l’AI, en particulier au regard des éléments avancés par le Dr H.N.________ selon lequel le recourant souffrirait non seulement d’un trouble dépressif récurrent, épisode actuel moyen (F33.1), mais aussi de déficit de l’attention/hyperactivité (F90.2) (cf. rapport du 25 septembre 2020), respectivement présenterait des symptômes dépressifs de degré sévère (cf. rapport du 18 août 2021). Or l’expert a bien expliqué que l’assuré ne présente pas de trouble dépressif sévère, car dans une telle atteinte psychique, le recourant présenterait une tristesse significative sévère la plupart de la journée, laquelle serait accompagnée d’une anhédonie totale. Or tel n’est pas le cas du recourant, lequel a des plaisirs conservés dans le quotidien avec sa copine de plus de dix ans sa cadette, avec des vacances possibles s’il en a l’occasion. Sa tristesse n’a pas d’impact sévère, mais léger, sur le quotidien et ses angoisses sont subjectives. Le Dr X.________ relève en outre que le recourant gère son quotidien en dehors de l’administratif complexe (expertise, p. 49). L’expert psychiatre a par ailleurs retenu un trouble du déficit de l’attention / hyperactivité, léger, significatif cliniquement depuis l’enfance. Dès lors que ce trouble était déjà présent lorsque le recourant a été examiné par le Dr H.G.________ (rapport du 25 novembre 2011), il n’existe pas davantage d’évolution de l’état de santé de ce point de vue. En particulier, le status dressé par le Dr H.G.________ (expertise H.G.________, pp. 3-4) est similaire en tous points aux observations cliniques du Dr X.________ lors de la dernière expertise (expertise X.________, pp. 31-34). d) En ce qui concerne le trouble neuropsychologique qui aurait « à l’évidence » une influence sur sa capacité de travail, l’expert psychiatre a évalué la capacité du recourant à raisonner clairement et à appréhender la complexité ainsi que sa capacité à retenir et à reproduire des motifs d’information à l’aide des matrices de Raven. Le score obtenu par le recourant au test des matrices de Raven est compatible avec des capacités de concentration et intellectuelles dans la moyenne faible, ce qui est concordant avec le niveau d’acquisition, mais sans trouble cognitif ou de la concentration significatif, si bien que l’expert a estimé inutile un nouvel examen neuropsychologique. De cette manière, le Dr X.________ a justifié pour quel motif il n’a pas estimé opportun de procéder à un examen neuropsychologique. De son côté, le Dr M.________ du SMR a estimé qu’un tel examen pouvait difficilement être mis en œuvre en raison de la consommation de stupéfiant, laquelle pouvait entraîner un biais dans les résultats (cf. avis du 31 août 2023) et que l’expert avait procédé à une appréciation des capacités fonctionnelles de l’assuré sur la base de l’ensemble des éléments figurant dans son rapport d’expertise. Quant aux difficultés dans l’expression écrite en lien avec une scolarité insuffisante, le médecin du SMR estime à juste titre qu’un accompagnement social permettrait d’y répondre. Pour sa part, le recourant n’explique pas pour quelle raison il conviendrait de s’écarter des tests psychométriques réalisés par l’expert et ne fournit pas d’autres éléments propres à justifier un complément d’instruction. Enfin, on relève que, dans son dernier rapport du 22 août 2023, le Dr H.N.________ n’indique pas qu’il serait nécessaire de procéder à un nouvel examen neuropsychologique. Il résulte de ce qui précède que le choix de l’expert de renoncer à un nouvel examen neuropsychologique, dûment motivé, n’est pas remis en cause par des éléments du dossier, ce qui conduit à rejeter le grief du recourant. e) Le recourant estime ensuite que les conclusions de l’expert selon lesquelles il aurait des ressources personnelles satisfaisantes sont en contradiction avec les diagnostics retenus, son parcours de vie et son quotidien, ainsi qu’avec les rapports du Dr H.N.________ et de Mme H.O.________. aa) Certes, le parcours de vie du recourant a été émaillé dès l’enfance de nombreuses difficultés, le Dr X.________ évaluant l’état de santé psychique du recourant, son évolution et le pronostic en ces termes (expertise X.________, pp. 38 et 49-50) : « Il s’agit d’un assuré qui présente un trouble dépressif récurrent moyen avec syndrome somatique depuis 2017 au présent, dans le contexte d’une dépendance à plusieurs substances (cannabis et benzodiazépines avec utilisation continue, opiacés avec utilisation épisodique, éthylique et à la cocaïne actuellement abstinent), avec un trouble de la personnalité mixte émotionnellement labile de type impulsif, dépendante et dyssociale, actuellement non décompensé et d’un trouble de l’attention avec hyperactivité léger depuis l’enfance. Nous n’objectivons pas des limitations psychiatriques sévères mais légères chez un assuré limité par sa tristesse et sa fatigue subjective, mais sans ralentissement psychomoteur objectivé, sans troubles de la concentration objectivables, sans anhédonie totale mais légère car il passe des bons moments au moins deux fois par semaine avec sa copine de plus de dix ans sa cadette, durant des vacances s’il en a l’occasion, alors qu’il ne bénéficie pas d’un traitement antidépresseur, sans traitement psychiatrique hebdomadaire mais bi annuel et avec un suivi psychologique mensuel. (…) Nous constatons une évolution globalement stationnaire des troubles susmentionnés depuis 2017 au présent, sans suivi psychiatrique hebdomadaire mais biannuel, alors que la personnalité n’est pas décompensée, sans traitements antidépresseurs, sans impact significatif mais léger sur le quotidien d’un point de vue psychiatrique. Le pronostic de reprise professionnelle dépend de la motivation de l’assuré et d’une aide pour une réinsertion professionnelle et il n’y a pas d’exigibilité pour un traitement antidépresseur, même si ceci pourrait améliorer le pronostic évolutif, car la capacité de travail est déjà de 70 % d’un point de vue psychiatrique. En cas d’un traitement antidépresseur avec sevrage et prégabaline en si besoin plutôt que des benzodiazépines avec suivi psychiatrique hebdomadaire, la capacité de travail pourrait augmenter à 100 % sans baisse de rendement dans une année avec une probabilité de 70 % environ. » L’expert a en outre évalué les capacités, les ressources et les difficultés à l’aide du MINI CIF 10, lequel a révélé les limitations fonctionnelles suivantes (expertise X.________, p. 51) : bb) Il n’en reste pas moins qu’au quotidien, le recourant fonctionne et que son état de santé ne s’est pas aggravé au point de restreindre davantage ses capacités fonctionnelles. Sur le plan de la gravité fonctionnelle, le Dr X.________ a ainsi objectivé, sur la base de l’anamnèse, de l’examen clinique et de la journée type, des limitations psychiatriques légères, justifiant une baisse de la capacité de travail, chez un assuré limité par sa tristesse et sa fatigue subjective, mais sans ralentissement psychomoteur objectivé, sans troubles de la concentration objectivables, sans anhédonie totale, mais légère, et avec des limitations dans les activités nécessitant une attention optimale. Il ne relève pas d’évolution. L’expert mentionne également la stabilité du traitement entrepris et propose des adaptations, ce qui montre que les solutions thérapeutiques sont loin d’être épuisées. L’expert admet un isolement social et retient des difficultés à établir des relations avec les autres et à évoluer au sein d’un groupe (2/4 au MINI CIF 10). Ainsi, les difficultés mentionnées par le Dr H.N.________ dans son rapport du 22 août 2023 ne sont pas ignorées par l’expert ; au contraire, ce dernier en a tenu compte. On relève que l’expert a procédé à un examen approfondi des effets des comorbidités et des troubles de la personnalité, lesquels n’ont pas évolué dans la mesure où le recourant présente, selon l’anamnèse et de longue date, des comportements durables et stables disharmonieux, mais pas nettement disharmonieux dans plusieurs secteurs du fonctionnement avec la présence de traits mixtes de la personnalité émotionnellement labile, dépendante et dyssociale (expertise X.________, pp. 51-52). En outre, l’expert a examiné avec soin le critère de la cohérence, objectivant une bonne cohérence entre la plupart des plaintes subjectives et le constat objectif, le décalage existant entre la fatigue et le constat objectif s’inscrivant dans un contexte de trouble de la personnalité mixte avec des bénéfices primaires et secondaires, mais sans exagération volontaire des plaintes. Il relève l’absence de limitations fonctionnelles psychiatriques significatives et uniformes dans les domaines de la vie courante selon l’anamnèse, la journée type et l’examen clinique et une motivation nulle pour une réadaptation professionnelle et un traitement antidépresseur avec une bonne motivation pour le suivi psychiatrique. Au final, le tableau contrasté des indicateurs montre que l’évaluation de la capacité de travail (70 %) repose sur un examen complet du dossier ; elle mérite d’être confirmée.</w:t>
      </w:r>
    </w:p>
    <w:p>
      <w:r>
        <w:rPr>
          <w:b/>
        </w:rPr>
        <w:t>E. 9</w:t>
      </w:r>
    </w:p>
    <w:p>
      <w:r>
        <w:t>Cela étant constaté, il convient de déterminer le degré d’invalidité que présente le recourant. a)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b) En l’occurrence,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adapté à la durée moyenne du travail en Suisse de 41,7 heures par semaine. Il a motivé ce choix par le fait que le recourant n’avait plus d’activité lucrative depuis plusieurs années et qu’il n’avait pas repris l’exercice d’une activité adaptée. En ce qui concerne l’abattement, l’intimé a retenu une réduction de 5 % en raison du taux d'occupation qui peut engendrer un désavantage salarial et exclu toute autre réduction avec la précision que les limitations fonctionnelles avaient été prises en compte dans la diminution de la capacité de travail. L’assuré ne conteste pas le calcul du degré d’invalidité, lequel doit cependant être vérifié d’office. c) Le recourant a déposé une nouvelle demande de prestations de l’assurance-invalidité le 1 er octobre 2020. Aussi, l’intimé aurait dû calculer la comparaison selon les statistiques pertinentes en 2021, soit six mois après la nouvelle demande (cf. consid. 4e ci-dessus), et non en 2018. Pour cela il convient de se référer à l’ESS 2020. Selon cette table, le revenu mensuel moyen applicable au niveau de compétence 1 correspondant aux tâches physiques ou manuelles simples, pour les hommes, tous secteurs confondus, se monte à 5'261 francs. Il en résulte que le revenu sans invalidité se monte à 65'354 fr. 40 compte tenu de la baisse des salaires nominaux 2020-2021 de -0,7 % (T39, Evolution des salaires nominaux, des prix à la consommation et des salaires réels, 2010-2022) et de la durée moyenne du travail en Suisse de 41,7 heures par semaine en 2021 (T 03.02.03.01.04.01, Durée normale du travail dans les entreprises selon la division économique). Le revenu d’invalide se monte quant à lui à 43'460 fr. 68 compte tenu de l’incapacité de travail de 30 % et de l’abattement non contesté de 5 %. Au final, il en résulte un préjudice économique de 21'893 fr. 72 (65'354 fr. 40 - 43'460 fr. 68) et un degré d’invalidité de 33,5 % (21'893 fr. 72 ÷ 65'354 fr. 40) si bien que le droit à la rente n’est pas ouvert.</w:t>
      </w:r>
    </w:p>
    <w:p>
      <w:r>
        <w:rPr>
          <w:b/>
        </w:rPr>
        <w:t>E. 10</w:t>
      </w:r>
    </w:p>
    <w:p>
      <w:r>
        <w:t>a) Dans un grief peu étayé, le recourant affirme encore que le profil d’activité retenu par l’expert n’existe pas sur le marché du travail.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on constate en premier lieu que le recourant conserve une capacité de travail de 70 % dans son activité habituelle (expertise, p. 52). De plus,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C’est ici le lieu de souligner que l’OAI a énoncé différents types d’autres activités envisageables dans son calcul du salaire exigible du 21 juin 2023 ( « travail simple et répétitif dans le domaine industriel léger, par exemple montage, contrôle ou surveillance d’un processus de production, ouvrier à l’établi dans des activités simples et légères, ouvrier dans le conditionnement, également toutes activités simples dans le secteur primaire et secondaire, agriculture, chantiers. » ) – dont il y a lieu d’admettre qu’elles ne contreviendraient pas aux restrictions psychiques découlant des diagnostics retenus par le Dr X.________ et au taux d’activité exigible de 70 % tel que retenu. Le grief du recourant relatif à la mise en valeur de sa capacité de travail résiduelle doit donc être écarté.</w:t>
      </w:r>
    </w:p>
    <w:p>
      <w:r>
        <w:rPr>
          <w:b/>
        </w:rPr>
        <w:t>E. 11</w:t>
      </w:r>
    </w:p>
    <w:p>
      <w:r>
        <w:t>a) Dans un ultime motif, le recourant soutient que la mise en œuvre de mesures d’orientation professionnelle est un prérequis indispensable pour qu’il puisse réintégrer le marché du travail.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Aux termes de l’art. 15 LAI (dans sa teneur en vigueur au 31 décembre 2021), l’assuré auquel son invalidité rend difficile le choix d’une profession ou l’exercice de son activité antérieure a droit à l’orientation professionnelle. bb)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cc)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 4.2 et les références). c) En l’occurrence, c’est de manière conforme au droit fédéral que l’intimé a nié le droit aux mesures d’orientation professionnelle. Certes, le recourant présente une incapacité de gain de plus de 20 %. Cependant, la situation du recourant n’est pas celle d’un assuré qui aurait bénéficié d’une rente d’invalidité, configuration dans laquelle, avant de la réduire ou de la supprimer,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A l’instar du spécialiste en réinsertion professionnelle de l’office AI (cf. rapport final REA du 21 juin 2023), il y a lieu de relever qu’aucune mesure ne permettrait de réduire le préjudice économique en raison, notamment, des limitations fonctionnelles reconnues et du taux d’activité pour un assuré qui ne bénéficie pas d’une formation certifiante de type CFC et qui est sans activité depuis 2011. Du fait que le préjudice économique est engendré par la diminution de la capacité de travail de 30 %, laquelle ne pourra pas s’amender sans traitement antidépresseur que l’intéressé refuse (expertise X.________, p. 54), une formation pratique ne réduirait pas le préjudice économique, lequel demeurerait constant. Sur le plan subjectif, il y a lieu de relever que l’assuré n’est pas motivé par des mesures de réadaptation, s’estimant complètement incapable de retravailler à son âge, sans expérience professionnelle récente avec un casier judiciaire. L’expert conclut d’ailleurs que le recourant présente une « motivation nulle pour une réadaptation professionnelle » (expertise X.________, p. 52). Au stade du recours, le recourant ne produit aucun élément nouveau qui permettrait de revoir la situation sous un autre angle. Enfin, le seul fait d’avoir été éloigné du marché du travail pendant plus de dix ans ne suffit pas pour reconnaître le droit à des mesures de réadaptation. La réadaptation par soi-même est en effet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Mal fondé, ce grief doit aussi être rejeté.</w:t>
      </w:r>
    </w:p>
    <w:p>
      <w:r>
        <w:rPr>
          <w:b/>
        </w:rPr>
        <w:t>E. 12</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