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292/10 vom 8. Dezember 2010</w:t>
      </w:r>
    </w:p>
    <w:p>
      <w:r>
        <w:t>VD Tribunal cantonal, 2010-12-08, FR</w:t>
      </w:r>
    </w:p>
    <w:p>
      <w:r>
        <w:rPr>
          <w:b/>
        </w:rPr>
        <w:t xml:space="preserve">Quelle: </w:t>
      </w:r>
      <w:r>
        <w:t>https://mcp.opencaselaw.ch/entscheid/vd_findinfo_AI_292_10</w:t>
      </w:r>
    </w:p>
    <w:p>
      <w:r>
        <w:t>FR: VD_FINDINFO AI 292/10 du 8 décembre 2010</w:t>
      </w:r>
    </w:p>
    <w:p>
      <w:r>
        <w:t>IT: VD_FINDINFO AI 292/10 del 8 dicembre 2010</w:t>
      </w:r>
    </w:p>
    <w:p>
      <w:pPr>
        <w:pStyle w:val="Heading2"/>
      </w:pPr>
      <w:r>
        <w:t>Regeste</w:t>
      </w:r>
    </w:p>
    <w:p>
      <w:r>
        <w:t>EFFET SUSPENSIF, REJET DE LA DEMANDE | 66 LAI, 97 LAVS, 55 PA, 94 al. 2 LPA-VD</w:t>
      </w:r>
    </w:p>
    <w:p>
      <w:pPr>
        <w:pStyle w:val="Heading2"/>
      </w:pPr>
      <w:r>
        <w:t>Volltext</w:t>
      </w:r>
    </w:p>
    <w:p>
      <w:r>
        <w:t>Vaud Tribunal cantonal Cour des assurances sociales 08.12.2010 AI 292/10</w:t>
      </w:r>
    </w:p>
    <w:p>
      <w:r>
        <w:t>EFFET SUSPENSIF, REJET DE LA DEMANDE | 66 LAI, 97 LAVS, 55 PA, 94 al. 2 LPA-VD</w:t>
      </w:r>
    </w:p>
    <w:p>
      <w:r>
        <w:t>TRIBUNAL CANTONAL AI 292/10 COUR DES ASSURANCES SOCIALES _____________________________________________ Ordonnance du 8 décembre 2010 __________________ Présidence de               Mme Röthenbacher , juge instructeur Greffière :              Mme Favre ***** Cause pendante entre : R.________ , à Yverdon-les-Bains, recourante, représentée par Me Marcel Paris, avocat à Yverdon-les-Bains, et Office de l'assurance-invalidité pour le canton de Vaud , à Vevey, intimé. _______________ Art. 66 LAI; art. 97 LAVS; art. 55 al. 2 à 4 PA; art. 94 al. 2 LPA-VD Vu la décision prise le 27 juillet 2010 par l'Office de l'assurance-invalidité pour le canton de Vaud (ci-après : l'OAI), remplaçant une rente entière d’invalidité accordée antérieurement à R.________ par une demi-rente (diminution de rente), avec effet dès le 1 er septembre 2010, vu le retrait, dans la décision précitée, de l’effet suspensif à un éventuel recours, vu le recours formé le 24 août 2010 par R.________ contre la décision de diminution de rente, vu la requête de restitution de l'effet suspensif présentée par la recourante dans son mémoire, vu les déterminations du 26 novembre 2010 de l'OAI, qui s’oppose à la restitution de l’effet suspensif, vu les pièces au dossier; considérant que l’autorité administrative peut, dans sa décision, prévoir qu'un recours éventuel n'aura pas d'effet suspensif, même si la décision porte sur une prestation pécuniaire (art. 97, 1 re phrase, LAVS [loi fédérale du 20 décembre 1946 sur l'assurance vieillesse et survivants; RS 831.10], applicable par analogie en vertu de l'art. 66 LAI [loi fédérale du 19 juin 1959 sur l'assurance invalidité; RS 831.20]), qu'au surplus, l'art. 55 al. 2 à 4 PA (loi fédérale du 20 décembre 1968 sur la procédure administrative; RS 172.021) est applicable (art. 97, 2 e phrase, LAVS, applicable par analogie en vertu de l'art. 66 LAI), que selon l'art. 55 al. 3 PA, l'autorité de recours, son président ou le juge instructeur peut restituer l’effet suspensif à un recours auquel l’autorité inférieure l’avait retiré (voir aussi art. 54 al. 1 let. c LPGA; Ueli Kieser, ATSG-Komentar, 2 e éd. 2009, n. 26 ad art. 56 LPGA et n. 5 ad art. 61 LPGA), que, dans la procédure de recours, le magistrat instructeur est compétent pour rendre les décisions relatives à l'effet suspensif (art. 94 al. 2 LPA-VD [loi cantonale vaudoise du 28 octobre 2008 sur la procédure administrative; RSV 173.36), que, conformément à la jurisprudence bien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ATF 119 V 503 consid. 4 et les références citées;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VSI 2000 p. 184, consid. 5), qu'en l'occurrence, il ne résulte pas d'emblée du dossier que la décision prise par l'OAI de diminuer la rente versée à la recourante est manifestement erronée, qu'en outre, il est hautement vraisemblable que la recourante aurait des difficultés à rembourser l'autorité intimée, si elle n'obtenait pas gain de cause au fond, qu'ainsi, l'intérêt de l'autorité intimée à éviter une procédure de restitution, en cas de rejet du recours et donc de confirmation de la diminution de rente, est prépondérant et l'emporte sur l'intérêt de la recourante au maintien du versement de la rente dans l'attente de l'issue de la cause au fond, qu'il convient ainsi de rejeter la requête de la recourante tendant à ce que l'effet suspensif du recours soit rétabli.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Marcel Paris (pour Mme R.________)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