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287/14 - 27/2016 vom 8. Februar 2016</w:t>
      </w:r>
    </w:p>
    <w:p>
      <w:r>
        <w:t>VD Tribunal cantonal, 2016-02-08, FR</w:t>
      </w:r>
    </w:p>
    <w:p>
      <w:r>
        <w:rPr>
          <w:b/>
        </w:rPr>
        <w:t xml:space="preserve">Quelle: </w:t>
      </w:r>
      <w:r>
        <w:t>https://mcp.opencaselaw.ch/entscheid/vd_findinfo_AI_287_14_-_27_2016</w:t>
      </w:r>
    </w:p>
    <w:p>
      <w:r>
        <w:t>FR: VD_FINDINFO AI 287/14 - 27/2016 du 8 février 2016</w:t>
      </w:r>
    </w:p>
    <w:p>
      <w:r>
        <w:t>IT: VD_FINDINFO AI 287/14 - 27/2016 del 8 febbraio 2016</w:t>
      </w:r>
    </w:p>
    <w:p>
      <w:pPr>
        <w:pStyle w:val="Heading2"/>
      </w:pPr>
      <w:r>
        <w:t>Regeste</w:t>
      </w:r>
    </w:p>
    <w:p>
      <w:r>
        <w:t>RÉVISION{PRESTATION D'ASSURANCE}, SUPPRESSION DE LA PRESTATION D'ASSURANCE, MODIFICATION{EN GÉNÉRAL}, ÉTAT DE SANTÉ | 28 LAI, 4 LAI, 17 LPGA, 87 al. 1 RAI, 88a al. 2 RAI, 88bis al. 2 RAI</w:t>
      </w:r>
    </w:p>
    <w:p>
      <w:pPr>
        <w:pStyle w:val="Heading2"/>
      </w:pPr>
      <w:r>
        <w:t>Erwägungen</w:t>
      </w:r>
    </w:p>
    <w:p>
      <w:r>
        <w:rPr>
          <w:b/>
        </w:rPr>
        <w:t>E. 6</w:t>
      </w:r>
    </w:p>
    <w:p>
      <w:r>
        <w:t>En définitive, le recours introduit le 4 décembre 2014 par N.________ doit être rejeté, ce qui entraîne la confirmation de la décision attaquée du 4 novembre 2014. a) Vu l'issue du litige, la recourante ne peut prétendre de dépens (art. 61 let. g LPGA et 55 LPA-VD). b) La procédure est onéreuse et la recourante, qui voit ses conclusions rejetées, devrait en principe supporter les frais de justice (art. 69 al. 1bis LAI et art. 49 al. 1 LPA-VD, applicable par renvoi des art. 91 et 99 LPA-VD). Elle a toutefois été mis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Hussein a produit une liste des opérations le 14 janvier 2016, intégrant notamment les opérations effectuées par son prédécesseur Me Graf, liste qui a été contrôlée au regard de la procédure et rentre globalement dans le cadre du bon accomplissement du mandat, de sorte qu'elle doit être arrêtée à 19 heures et 30 minutes de prestations d'avocat, soit un montant d'honoraires s'élevant à 3510 fr. (tarif horaire de 180 fr.), plus TVA à 8%. Au demeurant, l'avocat d'office a droit au remboursement de tous les débours qui s'inscrivent raisonnablement dans l'exécution de sa tâche (ATF 122 I 1). En l’occurrence, c’est un montant de 167 fr. 60, TVA à 8% en sus, qui doit être reconnu à ce titre. Le montant total de l'indemnité de Me Hussein s'élève donc à 3'971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