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287/10 - 210/2011 vom 3. Mai 2011</w:t>
      </w:r>
    </w:p>
    <w:p>
      <w:r>
        <w:t>VD Tribunal cantonal, 2011-05-03, FR</w:t>
      </w:r>
    </w:p>
    <w:p>
      <w:r>
        <w:rPr>
          <w:b/>
        </w:rPr>
        <w:t xml:space="preserve">Quelle: </w:t>
      </w:r>
      <w:r>
        <w:t>https://mcp.opencaselaw.ch/entscheid/vd_findinfo_AI_287_10_-_210_2011</w:t>
      </w:r>
    </w:p>
    <w:p>
      <w:r>
        <w:t>FR: VD_FINDINFO AI 287/10 - 210/2011 du 3 mai 2011</w:t>
      </w:r>
    </w:p>
    <w:p>
      <w:r>
        <w:t>IT: VD_FINDINFO AI 287/10 - 210/2011 del 3 maggio 2011</w:t>
      </w:r>
    </w:p>
    <w:p>
      <w:pPr>
        <w:pStyle w:val="Heading2"/>
      </w:pPr>
      <w:r>
        <w:t>Regeste</w:t>
      </w:r>
    </w:p>
    <w:p>
      <w:r>
        <w:t>RENTE POUR ENFANT, DÉBUT, DEMANDE DE PRESTATION D'ASSURANCE, OBLIGATION D'ANNONCER | 35 al. 1 LAI, 24 al. 1 LPGA, 29 LPGA, 65 al. 1 RAI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 doit par conséquent être rejeté, ce qui entraîne la confirmation de la décision attaquée. Les frais de justice sont mis à la charge de la recourante, qui succombe (art. 69 al. 1 bis LAI et 49 al. 1 LPA-VD [loi cantonale vaudoise du 28 octobre 2008 sur la procédure administrative, RSV 173.36]). Il n’y a pas lieu d’allouer des dépens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