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286/09 - 342/2010 vom 23. Juli 2010</w:t>
      </w:r>
    </w:p>
    <w:p>
      <w:r>
        <w:t>VD Tribunal cantonal, 2010-07-23, FR</w:t>
      </w:r>
    </w:p>
    <w:p>
      <w:r>
        <w:rPr>
          <w:b/>
        </w:rPr>
        <w:t xml:space="preserve">Quelle: </w:t>
      </w:r>
      <w:r>
        <w:t>https://mcp.opencaselaw.ch/entscheid/vd_findinfo_AI_286_09_-_342_2010</w:t>
      </w:r>
    </w:p>
    <w:p>
      <w:r>
        <w:t>FR: VD_FINDINFO AI 286/09 - 342/2010 du 23 juillet 2010</w:t>
      </w:r>
    </w:p>
    <w:p>
      <w:r>
        <w:t>IT: VD_FINDINFO AI 286/09 - 342/2010 del 23 luglio 2010</w:t>
      </w:r>
    </w:p>
    <w:p>
      <w:pPr>
        <w:pStyle w:val="Heading2"/>
      </w:pPr>
      <w:r>
        <w:t>Regeste</w:t>
      </w:r>
    </w:p>
    <w:p>
      <w:r>
        <w:t>RENTE D'INVALIDITÉ, TROUBLE SOMATOFORME DOULOUREUX | 28 LAI, 4 LAI</w:t>
      </w:r>
    </w:p>
    <w:p>
      <w:pPr>
        <w:pStyle w:val="Heading2"/>
      </w:pPr>
      <w:r>
        <w:t>Erwägungen</w:t>
      </w:r>
    </w:p>
    <w:p>
      <w:r>
        <w:rPr>
          <w:b/>
        </w:rPr>
        <w:t>E. 4</w:t>
      </w:r>
    </w:p>
    <w:p>
      <w:r>
        <w:t>a) En vertu de l'art. 28 LAI (et auparavant de l'art. 29 LAI), l'assuré a droit a une rente s'il est invalide à 40 % au moins au terme d'un délai d'attente d'une année.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TFA I_274/05 du 21 mars 2006, consid. 1.2; TF I_562/06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I_514/06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TFA 8C_14/2009 du 8 avril 2009, consid. 3).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w:t>
      </w:r>
    </w:p>
    <w:p>
      <w:r>
        <w:rPr>
          <w:b/>
        </w:rPr>
        <w:t>E. 5</w:t>
      </w:r>
    </w:p>
    <w:p>
      <w:r>
        <w:t>a) En l'espèce, le Tribunal fédéral des assurances a exposé dans son arrêt du 9 décembre 2004 (cf. lettre B.c supra) que le Tribunal des assurances du canton de Vaud avait retenu à juste titre, en se fondant sur le rapport d'expertise du F.________ (cf. lettre A.d supra), que s'agissant des seules atteintes à sa santé physique, le recourant disposait d'une pleine capacité de travail dans une activité légère n'imposant pas le port de charge ni la position statique pendant plus d'une ou deux heures. En l'absence de tout élément médical nouveau, il n'y a pas lieu de revenir sur cette constatation. Seule se pose donc la question de l'incapacité de travail du recourant pour des motifs psychiatriques, dans une activité adaptée à ses limitations fonctionnelles. b) Au vu du diagnostic de trouble somatoforme douloureux persistant posé par les experts du F.________ dans leur rapport de synthèse du 8 septembre 2000 (cf. lettre A.d supra), par le Dr M.________ dans son rapport d'expertise psychiatrique du 10 juin 2005 (cf. lettre C.a supra) et par le Dr W.________ dans son rapport d'examen clinique psychiatrique du 6 décembre 2006 (cf. lettre C.d supra), il sied tout d'abord d'examiner, au regard des critères dégagés par la jurisprudence du Tribunal fédéral (cf. consid. 4d supra), si l'on se trouve dans un cas exceptionnel où l'assuré ne dispose pas des ressources nécessaires pour vaincre ses douleurs. A cet égard, force est tout d'abord de constater que le recourant ne présente pas une comorbidité psychiatrique importante par sa gravité, son acuité et sa durée. En effet, alors que les experts du F.________ avaient retenu en 2000 un état anxio-dépressif d'intensité légère à modérée (cf. lettre A.d supra), tant le Dr M.________, dans son rapport d'expertise psychiatrique du 10 juin 2005 (cf. lettre C.a supra), que le Dr W.________, dans son rapport d'examen clinique psychiatrique du 6 décembre 2006 (cf. lettre C.d supra), ont posé le diagnostic de dysthymie (F34.1), soit d'un abaissement chronique de l'humeur, persistant au moins plusieurs années, mais dont la sévérité est insuffisante, ou dont la durée des différents épisodes est trop brève, pour justifier un diagnostic de trouble dépressif récurrent, sévère, moyen ou léger. Ces deux rapports satisfont en tous points aux critères posés par la jurisprudence pour leur accorder pleine valeur probante (cf. consid. 4c supra), et leurs conclusions concordantes, qui sont dûment motivées et convaincantes, doivent être retenues. Les avis médicaux du Dr Z.________, médecin traitant, des 10 octobre 2005 (cf. lettre C.c supra) et 10 juin 2009 (cf. lettre E.b supra), qui sont beaucoup moins fouillés, ne contiennent pas d'éléments objectifs qui permettraient de remettre en cause le diagnostic de dysthymie, posé de manière concordante par les Drs M.________ et W.________, au profit d'une « dépression moyenne à grave récidivante, accompagnant les douleurs chroniques ». Au demeurant, selon la doctrine médicale, sur laquelle se fonde le Tribunal fédéral, les états dépressifs constituent des manifestations (réactives) d'accompagnement des troubles somatoformes douloureux, de sorte qu'ils ne sauraient, en principe, faire l'objet d'un diagnostic séparé, sauf à présenter les caractères de sévérité susceptibles de le distinguer sans conteste d'un tel trouble (ATF 130 V 352 consid. 3.3.1 in fine; TF 9C_533/2008 du 19 mars 2009), ce qui n'est pas le cas en l'espèce. Quant aux autres critères déterminants, il existe certes une affection corporelle chronique, sans rémission durable, sous la forme de cervico-dorso-lombalgies, mais celles-ci se recoupent en partie avec le trouble somatoforme douloureux et le substrat somatique apparaît faible. En revanche, les pièces du dossier ne permettent nullement de conclure à une perte d'intégration sociale dans toutes les manifestations de la vie, contrairement à ce qu'affirme le recourant sans étayer ses affirmations. Par ailleurs, l'expert M.________ a souligné l'existence de divergences entre les douleurs décrites et le comportement observé chez le recourant, dont les plaintes le laissaient insensible et qui n'observait pas les prescriptions médicamenteuses. Quant au Dr W.________, il a souligné l'attitude fort démonstrative, non authentique, du recourant, et la contradiction éclatante qui existait entre la gravité des douleurs alléguées et le fait que celui-ci arrivait à effectuer la plupart des tâches ménagères, après que son épouse était devenue incapable de les assumer. Dans ces conditions, il y a lieu de conclure à l'absence d'une atteinte à la santé ouvrant le droit aux prestations d'assurance, en application de la jurisprudence du Tribunal fédéral rappelée plus haut (cf. consid. 4d supra). c) En l'absence de circonstances permettant de reconnaître exceptionnellement un caractère invalidant au trouble somatoforme douloureux persistant présenté par le recourant, c'est à juste titre que l'OAI a apprécié la capacité de travail de celui-ci au regard des seuls troubles psychiques stricto sensu – à l'exclusion donc du diagnostic de syndrome douloureux somatoforme persistant – présentés. Or à cet égard, comme on l'a vu (cf. consid. 5b supra), il y a lieu de retenir comme seul diagnostic ayant des répercussions sur la capacité de travail – et  à côté du diagnostic sans répercussion sur la capacité de travail de majoration de symptômes physiques pour des raisons psychologiques (F68.0) – celui de dysthymie (F45.4). Ce trouble entraîne, selon l'appréciation concordante des Drs M.________ et W.________, une diminution de 30 % de la capacité de travail du recourant, en présence de ruminations mentales importantes qui portent sur la fausse conviction d’être invalide ostéoarticulaire et qui entraînent une diminution de l’attention et de la concentration. L'appréciation du Dr Z.________, lequel a d'abord estimé à 70 % l'incapacité de travail du recourant pour des raisons psychiatriques (cf. lettre C.c supra) avant d'estimer qu'il est à considérer comme entièrement invalide (cf. lettre E.b supra), ne permet pas de s'écarter des appréciations concordantes et bien motivées des Drs M.________ et W.________. En effet, l'appréciation du médecin traitant n'est étayée que par référence à un diagnostic qui ne peut pas être retenu et par l'existence de douleurs dont on a vu qu'elles ne pouvaient se voir reconnaître un caractère invalidant au regard de la jurisprudence (cf. consid. 5b supra). d) En définitive, la décision attaquée échappe à la critique en tant qu'elle retient que le recourant conserve une capacité de travail de 70 % dans une activité adaptée à ses limitations fonctionnelles somatiques.</w:t>
      </w:r>
    </w:p>
    <w:p>
      <w:r>
        <w:rPr>
          <w:b/>
        </w:rPr>
        <w:t>E. 6</w:t>
      </w:r>
    </w:p>
    <w:p>
      <w:r>
        <w:t>a) D'après la jurisprudence constante du Tribunal fédéral, lorsque l'assuré n'a pas repris d'activité professionnelle, le revenu avec invalidité doit être arrêté à la lumière des statistiques salariales ressortant de l'enquête suisse sur la structure des salaires (ESS) publiée par l'Office fédéral de la statistique (ATF 126 V 75 consid. 3b/bb, 124 V 321; TFA I_864/2005 du 26 octobre 2006, consid. 2.5, I_298/2004 du 21 juillet 2005, consid. 6, I_794/2001 du 11 septembre 2003, consid. 5.2). Afin de pouvoir effectuer la comparaison des revenus, l'OAI doit se référer à la statistique des salaires bruts standardisés, en se fondant sur la valeur centrale (ou médiane) de la catégorie de la classification en question (tableaux du groupe A) (ATF 124 V 321). En l'occurrence, le salaire de référence retenu (ESS 1996 TA1; niveau de qualification 4) correspond à celui offert pour des postes de travail, toutes activités confondues dans le secteur privé, qui ne requièrent aucune qualification professionnelle particulière (TF I_111/2006 du 19 avril 2007, consid. 5, TFA I_298/2004 du 21 juillet 2005, consid. 6). Considérant le large éventail d'activités simples et répétitives ainsi recouvertes dans les secteurs de la production et des services, il y a lieu de reconnaître qu'un nombre significatif d'entre elles sont adaptées aux limitations fonctionnelles objectivement relativement modestes du recourant (cf. notamment TFA I_112/06, I_111/06, I_372/06 et I_700/05 des 16 août, 19 avril, 25 et 12 janvier 2007). Dans ces conditions, le reproche que fait le recourant à l'OAI de ne pas avoir entrepris les démarches nécessaires pour déterminer s'il pouvait être reclassé dans une nouvelle profession et, le cas échéant, déterminer la ou les professions adéquates tombe à faux. En effet, le recourant n'ayant pas souhaité entrer dans un processus de reclassement, il s'agissait de calculer son préjudice économique par une approche théorique de sa capacité de gain, dans laquelle, comme on vient de le voir, les éléments déterminants ont été pris en considération. b) Cela étant, le recourant critique l’abattement de 5 % retenu par l'OAI sur le salaire d'invalide ressortant des statistiques, estimant qu'au vu de son âge, du fait qu'il n’a plus travaillé depuis 1996, de ses limitations fonctionnelles, de sa surdité, de l’absence de formation professionnelle, de sa perte d’intégration sociale et du fait qu'il a énormément de peine à parler et comprendre le français, il convient de procéder à un abattement maximal de 25 pour-cent.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 / catégorie d'autorisation de séjour et taux d'occupation); une déduction globale maximum de 25 %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En l'espèce, les limitations fonctionnelles du recourant ont déjà été prises en compte dans l'appréciation qui a conduit à limiter l'exigibilité médicale à 70 %, de sorte qu'il n'y a pas lieu de procéder à cet égard à un abattement plus élevé que les 5 % retenus par l'OAI pour tenir compte du taux d'occupation (cf. lettre C.e supra). Quant aux autres éléments invoqués par le recourant, il sied tout d'abord d'observer que celui-ci ne se situe pas dans une catégorie d'âge qui soit susceptible de limiter ses perspectives salariales dans le type d'activité envisagé. En outre, l'exercice d'activités industrielles légères ne nécessite pas une bonne connaissance du français ni des qualifications particulières, et la longue période d'inactivité invoquée par le recourant – qui ne constitue pas un critère à prendre en considération pour évaluer l'incapacité de travail ou de gain d'un assuré (TFA I_685/04 du 5 décembre 2005, consid. 5.2) – n'est pas non plus pertinente à cet égard. La cour de céans n'a donc pas de raison de substituer sa propre appréciation à celle de l'OAI, s'agissant de l'abattement retenu par celui-ci en conformité avec la jurisprudence. En tous les cas, même un abattement de 10 % sur le revenu d'invalide ressortant des statistiques, qui constituerait un maximum et conduirait à retenir un revenu avec invalidité de 34'174 fr. 65, n'aboutirait encore, au regard du revenu sans invalidité (non contesté) de 56'340 fr., qu'à un degré d'invalidité de 39.34 %, soit, arrondi au pour-cent inférieur (ATF 130 V 121 consid. 3.2), de 39 %, ce qui est insuffisant pour ouvrir le droit à une rente d'invalidité.</w:t>
      </w:r>
    </w:p>
    <w:p>
      <w:r>
        <w:rPr>
          <w:b/>
        </w:rPr>
        <w:t>E. 7</w:t>
      </w:r>
    </w:p>
    <w:p>
      <w:r>
        <w:t>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