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284/20 - 194/2021 vom 1. Juli 2021</w:t>
      </w:r>
    </w:p>
    <w:p>
      <w:r>
        <w:t>VD Tribunal cantonal, 2021-07-01, FR</w:t>
      </w:r>
    </w:p>
    <w:p>
      <w:r>
        <w:rPr>
          <w:b/>
        </w:rPr>
        <w:t xml:space="preserve">Quelle: </w:t>
      </w:r>
      <w:r>
        <w:t>https://mcp.opencaselaw.ch/entscheid/vd_findinfo_AI_284_20_-_194_2021</w:t>
      </w:r>
    </w:p>
    <w:p>
      <w:r>
        <w:t>FR: VD_FINDINFO AI 284/20 - 194/2021 du 1 juillet 2021</w:t>
      </w:r>
    </w:p>
    <w:p>
      <w:r>
        <w:t>IT: VD_FINDINFO AI 284/20 - 194/2021 del 1 luglio 2021</w:t>
      </w:r>
    </w:p>
    <w:p>
      <w:pPr>
        <w:pStyle w:val="Heading2"/>
      </w:pPr>
      <w:r>
        <w:t>Regeste</w:t>
      </w:r>
    </w:p>
    <w:p>
      <w:r>
        <w:t>BÉNÉFICIAIRE DE RENTE, FORCE PROBANTE, ÉTAT DE SANTÉ, MODIFICATION{EN GÉNÉRAL} | 28 LAI, 4 al. 1 LAI, 17 LPGA, 6 LPGA, 7 LPGA, 8 al. 1 LPGA, 88a al. 1 RAI</w:t>
      </w:r>
    </w:p>
    <w:p>
      <w:pPr>
        <w:pStyle w:val="Heading2"/>
      </w:pPr>
      <w:r>
        <w:t>Erwägungen</w:t>
      </w:r>
    </w:p>
    <w:p>
      <w:r>
        <w:rPr>
          <w:b/>
        </w:rPr>
        <w:t>E. 9</w:t>
      </w:r>
    </w:p>
    <w:p>
      <w:r>
        <w:t>a) Compte tenu de ce qui précède, le recours doit être rejeté et les décisions entreprises confirmées.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