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AI 283/17 - 266/2018 vom 10. September 2018</w:t>
      </w:r>
    </w:p>
    <w:p>
      <w:r>
        <w:t>VD Tribunal cantonal, 2018-09-10, FR</w:t>
      </w:r>
    </w:p>
    <w:p>
      <w:r>
        <w:rPr>
          <w:b/>
        </w:rPr>
        <w:t xml:space="preserve">Quelle: </w:t>
      </w:r>
      <w:r>
        <w:t>https://mcp.opencaselaw.ch/entscheid/vd_findinfo_AI_283_17_-_266_2018</w:t>
      </w:r>
    </w:p>
    <w:p>
      <w:r>
        <w:t>FR: VD_FINDINFO AI 283/17 - 266/2018 du 10 septembre 2018</w:t>
      </w:r>
    </w:p>
    <w:p>
      <w:r>
        <w:t>IT: VD_FINDINFO AI 283/17 - 266/2018 del 10 settembre 2018</w:t>
      </w:r>
    </w:p>
    <w:p>
      <w:pPr>
        <w:pStyle w:val="Heading2"/>
      </w:pPr>
      <w:r>
        <w:t>Regeste</w:t>
      </w:r>
    </w:p>
    <w:p>
      <w:r>
        <w:t>DÉCISION DE RENVOI, AGGRAVATION DE L'ATTEINTE À LA SANTÉ, FIBROMYALGIE, ATTEINTE À LA SANTÉ PSYCHIQUE, ATTEINTE À LA SANTÉ PHYSIQUE | 28 LAI, 6 LPGA, 7 LPGA, 8 LPGA, 88a al. 2 RAI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a) Le recours doit par conséquent être admis et la décision attaquée annulée, la cause étant renvoyée à l’intimé pour instruction complémentaire et nouvelle décision sur le droit aux prestations. b) En dérogation à l’art. 61 let. a LPGA, la procédure de recours en matière de contestations portant sur l’octroi ou le refus de prestations de l’assurance-invalidité devant le tribunal cantonal des assurances est soumise à frais de justice (art. 69 al. 1 bis LAI). En l’espèce, les frais de justice doivent être arrêtés à 400 fr. et mis à la charge de l'office intimé. c) Par ailleurs, la recourante, qui obtient gain de cause avec l'assistance d’un mandataire, a droit à des dépens, qu'il convient de fixer à 1’500 fr. (art. 61 let. g LPGA, art.</w:t>
      </w:r>
    </w:p>
    <w:p>
      <w:r>
        <w:rPr>
          <w:b/>
        </w:rPr>
        <w:t>E. 10</w:t>
      </w:r>
    </w:p>
    <w:p>
      <w:r>
        <w:t>et 11 TFJDA [tarif du 28 avril 2015 des frais judiciaires et des dépens en matière administrative ; RSV 173.36.5.1]) et de mettre à la charge de l’intimé.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