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283/14 - 180/2019 vom 12. Juni 2019</w:t>
      </w:r>
    </w:p>
    <w:p>
      <w:r>
        <w:t>VD Tribunal cantonal, 2019-06-12, FR</w:t>
      </w:r>
    </w:p>
    <w:p>
      <w:r>
        <w:rPr>
          <w:b/>
        </w:rPr>
        <w:t xml:space="preserve">Quelle: </w:t>
      </w:r>
      <w:r>
        <w:t>https://mcp.opencaselaw.ch/entscheid/vd_findinfo_AI_283_14_-_180_2019</w:t>
      </w:r>
    </w:p>
    <w:p>
      <w:r>
        <w:t>FR: VD_FINDINFO AI 283/14 - 180/2019 du 12 juin 2019</w:t>
      </w:r>
    </w:p>
    <w:p>
      <w:r>
        <w:t>IT: VD_FINDINFO AI 283/14 - 180/2019 del 12 giugno 2019</w:t>
      </w:r>
    </w:p>
    <w:p>
      <w:pPr>
        <w:pStyle w:val="Heading2"/>
      </w:pPr>
      <w:r>
        <w:t>Regeste</w:t>
      </w:r>
    </w:p>
    <w:p>
      <w:r>
        <w:t>AFFECTION PSYCHIQUE, INVALIDITÉ{INFIRMITÉ}, DROIT D'ÊTRE ENTENDU, DIAGNOSTIC{EN GÉNÉRAL} | 29 Cst., 28 LAI, 4 LAI, 49 al. 3 LPGA, 6 LPGA, 7 LPGA, 8 LPGA</w:t>
      </w:r>
    </w:p>
    <w:p>
      <w:pPr>
        <w:pStyle w:val="Heading2"/>
      </w:pPr>
      <w:r>
        <w:t>Erwägungen</w:t>
      </w:r>
    </w:p>
    <w:p>
      <w:r>
        <w:rPr>
          <w:b/>
        </w:rPr>
        <w:t>E. 1</w:t>
      </w:r>
    </w:p>
    <w:p>
      <w:r>
        <w:t>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c) Le recours a été déposé en temps utile et satisfait en outre aux autres conditions de forme prescrites par la loi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c) Le présent litige a trait au droit du recourant à une rente d’invalidité.</w:t>
      </w:r>
    </w:p>
    <w:p>
      <w:r>
        <w:rPr>
          <w:b/>
        </w:rPr>
        <w:t>E. 3</w:t>
      </w:r>
    </w:p>
    <w:p>
      <w:r>
        <w:t>Dans un premier grief de nature formelle, le recourant fait valoir que la motivation de la décision litigieuse est lacunaire.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En l’occurrence, l’avis du juriste joint à la décision est certes succinct. Il demeure néanmoins intelligible : on comprend en effet qu’il pose le postulat que les différents avis d’experts ou médecins apprécient la même situation, avec pour corollaire qu’il s’impose de décider quelles conclusions – de quel expert ou médecin – sont pertinentes, au contraire de l’avis du SMR qui juxtapose dans le temps toutes les appréciations de la capacité de travail faites par les experts et médecins. On comprend également que dans ce contexte, l’antériorité de l’expertise du Dr D.________ par rapport à celles des Drs I.________ et F.________ est sans incidence. Par ailleurs, nonobstant la motivation succincte de l’intimé, le recourant a été en mesure  de faire valoir ses arguments dans le cadre de la présente procédure judiciaire, ouverte devant une instance jouissant d’un plein pouvoir d’examen pour statuer – le recours selon les art. 56 ss LPGA étant un moyen de droit complet permettant un examen de la décision entreprise en fait et en droit (TF 9C_205/2013 du 1 er octobre 2013 consid. 1.3, renvoyant à l’arrêt 9C_127/2007 du 12 février 2008 consid. 2.2). Par conséquent, l’argument tiré d’une violation du droit d’être entendu doit être écarté. Au demeurant, même dans l’hypothèse d’une violation grave du droit d’être entendu, un renvoi à l’autorité administrative serait totalement disproportionné en présence, comme en l’espèce, de la nécessité d’une expertise judiciaire.</w:t>
      </w:r>
    </w:p>
    <w:p>
      <w:r>
        <w:rPr>
          <w:b/>
        </w:rPr>
        <w:t>E. 4</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re phrase). En cas d’incapacité de travail de longue durée, l’activité qui peut être exigée de l’assuré peut aussi relever d’une autre profession ou d’un autre domaine d’activité (2 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fait valoir son droit aux prestations (art. 29 al. 1 LAI).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d) En substance, se fondant sur l’expertise du Dr I.________ et déniant toute valeur probante aux autres expertises, le recourant soutient qu’il présente une incapacité totale de travail depuis juillet 2008, lui ouvrant le droit à une rente entière d’invalidité. L’intimé, se référant dans un premier temps aux expertises des Drs D.________ et G.________, puis à l’expertise judiciaire, considère que le recourant présente une pleine capacité de travail. Préliminairement, il sera observé que le recourant a déposé sa demande de prestations le 24 juin 2010 de telle sorte que le droit à la rente prend naissance au plus tôt en décembre 2010. Il doit donc être déterminé en premier lieu si le recourant a présenté une incapacité de travail moyenne de 40 %, sans interruption notable au cours des douze mois précédant décembre 2010, et dans l’affirmative s’il présentait une invalidité d’au moins 40 % à cette échéance. Dans cette dernière hypothèse ne doit être appréciée que l’évolution de l’incapacité de travail jusqu’à la date de la décision litigieuse, soit jusqu’au 23 octobre 2014. Ces conditions temporelles entraînent pour conséquence que les rapports médicaux, et plus particulièrement les rapports d’expertise fondés sur des examens cliniques antérieurs à décembre 2009, ne sont en principe pas pertinents pour apprécier l’incapacité de travail pendant le délai d’attente de l’art. 28 al. 1 LAI, qui plus est ultérieurement. Il ne pourra être tenu compte de ces rapports que sous l’angle des diagnostics et pronostics posés par leurs auteurs. Par ailleurs, les rapports médicaux établis dans les suites de l’hospitalisation psychiatrique du 19 au 21 avril 2017 n’entrent pas en considération dans la mesure où ils concernent des faits survenus postérieurement à la décision du 23 octobre 2014. 5) a) Dans ses griefs à l’encontre de l’expertise judiciaire du Dr K.________, le recourant fait valoir en premier lieu que les données subjectives, personnelles et familiales retenues par cet expert recèleraient des incohérences, des incompréhensions, voire des erreurs. Il cite divers extraits de l’expertise en soutenant que les faits rapportés ne sont pas conformes à la réalité, respectivement à ses déclarations à l’expert, pour en déduire que l’analyse et les conclusions de l’expertise ne sont pas fiables. Une expertise est considérée comme incomplète notamment lorsque l’expert ne tient pas compte de faits importants ressortant du dossier ou lorsque dans le cadre de l’examen, particulièrement de l’interrogatoire de l’expertisé, des faits importants ne figurant pas dans le dossier n’ont pas été mis en évidence (TF I 568/06 du 22 novembre 2006 consid. 5.1) A fortiori, en présence d’éléments de fait erronés ou interprétés par l’expert, la valeur probante de l’expertise sera niée pour autant que l’erreur ou le phénomène d’interprétation portent sur des faits importants déterminants pour l’appréciation des diagnostics et de la capacité de travail. A cela s’ajoute que par définition, une anamnèse personnelle, familiale et sociale repose pour une bonne partie sur les déclarations de l’expertisé, lesquelles peuvent souffrir d’inexactitudes ou d’imprécisions. L’expert a par ailleurs la liberté de définir quels éléments anamnestiques lui paraissent essentiels et n’a pas une obligation d’exhaustivité dans la relations des faits rapportés par l’expertisé. La valeur probante de l’expertise ne sera affectée que si l’inexactitude, l’imprécision ou le manque d’exhaustivité se rapportent à des éléments factuels importants pour l’appréciation de la cause. En l’occurrence, il est improbable que l’expert ait introduit dans son rapport des éléments anamnestiques qui ne ressortiraient pas des déclarations du recourant ou des pièces au dossier, tels que son intérêt pour les [...], au demeurant réel, ou quelques détails relatifs à l’acquisition d’un immeuble à [...]. On ne conçoit guère quel aurait été l’intérêt de l’expert à imaginer ces faits, au demeurant sans importance sur l’appréciation finale. En outre, certains des extraits de l’expertise cités par le recourant, complétés ou rectifiés dans le cadre de ses déterminations, se rapportent à des faits également sans réelle incidence sur l’appréciation de l’état de santé psychique de l’intéressé (identité de la partie opposée dans le cadre du conflit à l’époque de son apprentissage, vie en couple de son frère, dimension et rythme de fréquentation des centres commerciaux, astreinte à une rente de 15 % en faveur de son ex-épouse en cas de reprise d’une activité, remise en question de la schizophrénie de sa fille). Le recourant perd par ailleurs en crédibilité lorsqu’il soutient que son hospitalisation psychiatrique en 2002 a duré quatre jours et reproche à l’expert d’avoir mentionné quatre semaines alors que le rapport d’hospitalisation mentionne effectivement un séjour du 24 mai au 29 juin 2002. Il en va de même s’agissant de la durée de sa formation dans les années 1990, qui  n’est pas d’un mois comme il le soutient mais largement supérieure au vu des pièces au dossier de l’OAI relatives aux différentes mesures de réadaptation mises en place dès 1991. Dans le même esprit, le recourant reproche à l’expert d’avoir mentionné le suivi de cours de comptabilité pendant six semaines en lieu et place de dix jours ; or, au dossier de l’intimé figure une attestation délivrée le 15 décembre 2010 portant sur la participation à un cours de comptabilité du 18 octobre 2010 au 10 décembre 2010 (P. 128). Le recourant soutient également avoir parlé à l’expert de deux tentatives de suicide en voiture « ces derniers mois », donnant lieu à des rapports de police, mais n’apporte pas la preuve que ces événements seraient antérieurs aux dates d’examen clinique d’août et septembre 2016. Par ailleurs, il sera observé que le recourant a manifestement tenu des propos permettant de considérer qu’il était impliqué dans l’exploitation de la boutique de son épouse, l’expert citant ceux-ci entre parenthèses (p.16 « on a aménagé ça en boutique, mais on a eu beaucoup de bâtons dans les roues par le service social, je pensais que l’on avait pu réussir, c’était bien ce qu’on a fait »). Pour le surplus, en relation avec le grief d’interprétation des faits par l’expert, le recourant tente en réalité de substituer sa propre appréciation à celle de l’expert, dictant les conclusions que celui-ci aurait dû selon lui tirer des faits (libido, adoption d’un rôle de victime, implication dans la boutique ouverte par son épouse). En conclusion, il n’existe pas d’indices concrets permettant de douter de la valeur probante de l’expertise s’agissant des éléments d’anamnèse retenus par l’expert. b) Le recourant fait encore grief à l’expert d’avoir orienté ses questions. Or, il ressort des lignes directrices de qualité des expertises de psychiatrie d’assurance SSPP et SSPA 2016 que si l’expertisé se voit dans un premier temps accorder la possibilité de s’exprimer spontanément (ch. 3.1), l’entretien approfondi implique un entretien libre et des questions structurées (ch. 3.2.1). L’examen fait appel à un large spectre de techniques et de stratégies d’investigations, allant de la conversation libre à des formes d’entretien très structurées (p. 16). L’expert dispose ainsi d’une grande latitude dans sa méthode d’investigation et il ne saurait être reproché au Dr K.________ d’avoir posé au recourant des questions dirigées ou fermées s’il l’estimait nécessaire à l’exhaustivité de l’anamnèse. c) Le recourant critique encore le fait que l’expert judiciaire se soit prononcé sur des périodes antérieures à l’examen clinique. Or, c’est précisément le mandat d’un expert que d’apprécier rétroactivement la capacité de travail d’un assuré et son évolution dans le temps. d) Dans un autre moyen le recourant reproche à l’expert K.________ de ne pas avoir utilisé l’échelle d’Hamilton. Or, l’expert explique pour quelles raisons il n’a pas fait passer ce test au recourant, savoir que ce test ne peut pas servir d’instrument de diagnostic, que plusieurs de ces éléments dépendent des réponses subjectives de l’expertise et enfin, que son utilité paraît limitée dans le cadre d’une expertise, particulièrement en présence d’incohérences entre les plaintes de l’expertisé et ses activités quotidiennes et sociales. Par ailleurs, ni les lignes directrices précitées (p. 20), ni la jurisprudence n’imposent le recours à des instruments psychodiagnostiques, comme le test de Hamilton. Il appartient à l’expert de décider de l’opportunité de la mise en œuvre de tels test (TC 8C_798/2010 du 17 novembre 2010 consid. 3.1). Il en va au demeurant de même de la nécessité d’obtenir des renseignements complémentaires auprès des médecins traitants. Cela étant, les choix méthodologiques de l’expert ne sont pas critiquables au regard de la jurisprudence comme des exigences de qualité précitées. e) Enfin, le recourant émet l’hypothèse que l’expert se soit laissé dépasser par un ressenti négatif au point de douter de l’authenticité de ses souffrances. Il ne ressort cependant pas de l’expertise des éléments objectifs permettant de supposer l’existence d’une quelconque subjectivité ou prévention de l’expert à l’égard du recourant. Le Dr K.________ est demeuré factuel et n’a pas formé de jugement de valeur.</w:t>
      </w:r>
    </w:p>
    <w:p>
      <w:r>
        <w:rPr>
          <w:b/>
        </w:rPr>
        <w:t>E. 4.2</w:t>
      </w:r>
    </w:p>
    <w:p>
      <w:r>
        <w:t>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b) Le Tribunal fédéral a récemment étendu l’application de la procédure d’administration des preuves prévalant en matière de troubles douloureux sans substrat organique (troubles somatoformes douloureux) et de troubles psychosomatiques analogues à l’ensemble des maladies psychiatriques (ATF 143 V 418 et 143 V 409). Plus particulièrement, le caractère invalidant d’atteintes à la santé psychique doit désormais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(cf. TF 9C_142/2018 du 24 avril 2018 consid. 5.2 ). c) En l’espèce, les diagnostics psychiatriques posés par les différents experts et médecins sont quelque peu divergents. La Dresse E.________ évoque un trouble dépressif majeur, chronifié. Le Dr D.________ retient un trouble dépressif majeur, épisode isolé, soit depuis le milieu de l’année 2008 , en rémission partielle et de gravité actuelle mineure (F32.6), ainsi qu’un trouble de la personnalité non spécifié (F60.9), des traits de personnalité limite et obsessionnelle-compulsive. Le Dr F.________ mentionne le diagnostic d’état dépressif de degré moyen (F.32.1) chez une personnalité fragile narcissiquement, actuellement décompensée (F60.8). Le Dr G.________ retient quant à lui les diagnostics d’autres troubles spécifiques de la personnalité (narcissique) (F60.8) et de trouble anxieux et dépressif mixte (F41.2). Le Dr I.________ évoque les diagnostics de trouble dépressif récurrent (F33.2), épisode actuel moyen à sévère et de troubles mixtes de la personnalité associant des traits narcissiques et de personnalité de type état limite (F 61.0). Enfin, le Dr K.________ pose les diagnostics de personnalité narcissique et émotionnellement labile (F61.0), existant depuis l’adolescence, et de dysthymie (F34.1), existant probablement depuis l’adolescence. Etant rappelé que du point de vue de l’assurance invalidité, ce n’est pas fondamentalement le diagnostic mais l’effet d’une atteinte à la santé sur la capacité de travail qui est pertinent (TF 9C_273/2018 du 28 juin 2018 consid. 4.2), les divergences entre experts sur ce point s’avèrent mineures. En effet, les diagnostics de trouble dépressif, d’état dépressif et de dysthymie relèvent tous du groupe des troubles de l’humeur (affectifs) selon la CIM-10. En réalité, ces diagnostics ne font que refléter les appréciations différentes des experts quant à l’intensité et à la fréquence des troubles de l’humeur et ne sauraient ainsi être considérés comme intrinsèquement contradictoires. Les Drs I.________ et K.________ se rejoignent quant au diagnostic de troubles de la personnalité (F61.0), le second lui déniant cependant toute influence sur la capacité de travail au contraire du premier. d) A titre liminaire, il sera observé que seule l’expertise du Dr K.________ a été établie sur la base d’un questionnaire intégrant les nouvelles exigences jurisprudentielles. Le fait qu’une expertise psychiatrique, comme en l’espèce celle du Dr I.________, n’a pas été établie selon les nouveaux standards posés par la jurisprudence ne suffit pas pour autant à lui dénier d’emblée toute valeur probante. (ATF 141 V 281 consid. 8 ; 137 V 210 consid. 6 ; TF 9C_109/2018 du 15 juin 2018 consid. 5.1). En l’espèce, l’expertise du Dr I.________ ne contient cependant pas les éléments nécessaires à une appréciation concluante du cas à l’aune des indicateurs déterminants, notamment du  degré de gravité fonctionnel de l’atteinte à la santé. En effet, ce médecin se fonde principalement sur les plaintes exprimées par le recourant pour apprécier le degré de gravité du trouble dépressif et son impact sur la capacité de travail, sans les confronter aux éléments anamnestiques, au demeurant lacunaires car ne permettant pas de vérifier la répercussion de l’atteinte à la santé psychique dans les différents domaines de la vie. L’expert fait mention de troubles cognitifs sans toutefois les objectiver à la faveur de des examens cliniques successifs. Notamment, il ne fait pas état de difficultés particulières à retracer l’anamnèse du recourant. A cela s’ajoute que l’examen neuropsychologique effectué depuis lors par le psychologue L.________ met en évidence de bonnes compétences cognitives dans tous les domaines testés, sous réserve de la mémoire épisodique en modalité verbale. Le degré de gravité fonctionnel de l’atteinte psychique retenu par Dr I.________ n’est pas cohérent avec l’absence de traitement et de médication psychiatriques, autre qu’un somnifère, depuis février 2010 et cet expert ne discute pas de cette incohérence, se contentant de prêter un effet contre- productif à un tel traitement. S’agissant du trouble de la personnalité, le Dr I.________ détaille les circonstances de sa survenance sans toutefois démontrer plus avant quelles limitations fonctionnelles entraînerait ce trouble dans une activité professionnelle. Enfin, il convient de constater que l’expertise du Dr I.________ est lacunaire au point qu’il n’est pas possible d’apprécier la surmontabilité par le recourant des effets de sa personnalité, qualifiée de décompensée par ce praticien. Quant au consilium du Dr F.________, il s’avère par trop succinct pour se voir conférer valeur probante selon les critères jurisprudentiels actuels. e) Dans son rapport du 13 octobre 2016, l’expert K.________ a conclu que les atteintes psychiques du recourant, soit celles de personnalité narcissique émotionnellement labile et de dysthymie, n’étaient pas incapacitantes. Cette expertise a été établie en pleine connaissance de l’anamnèse. L’expert a décrit de manière exhaustive les plaintes du recourant et les a confrontées à ses observations cliniques ainsi qu’à l’anamnèse. Il a longuement développé les raisons pour lesquelles il écartait le diagnostic d’épisode dépressif moyen à sévère pour retenir celui de dysthymie, en listant diverses incohérences entre les plaintes et l’examen clinique d’une part et les éléments objectivables de l’anamnèse d’autre part, tels que capacité de poursuivre des  activités sociales, administratives, ménagères, de s’engager dans des procédures judiciaires, d’avoir des projets, de mener une vie autonome et de chercher une solution à ses problèmes, ou encore l’absence de traitement psychiatrique. Dans le cadre de l’examen clinique, l’expert a observé, contrairement aux plaintes formulées par le recourant, une réactivité émotionnelle à des événements agréables, la capacité d’interagir de manière adéquate avec l’interlocuteur et de participer activement aux entretiens cliniques sans signe de fatigue, ni diminution importante de l’attention et de la concentration, l’absence de sentiment prédominant de culpabilité ou de dévalorisation en relation avec les injustices et blessures alléguées, le maintien de l’espoir d’obtenir gain de cause respectivement l’absence d’attitude pessimiste face à l’avenir, l’absence d’idées ou d’actes auto agressifs, de ralentissement ou d’agitation au plan psychomoteur, de dépression plus marquée matinale ou de réveil matinal précoce, de perte marquée de l’appétit ou de la libido. Par ailleurs, l’examen neuropsychologique confirmait l’existence de bonnes compétences cognitives, à l’exception de la mémoire épisodique en modalité verbale, compétence ressortant également de l’examen clinique psychiatrique. Enfin, l’expert a détaillé les éléments factuels qui fondaient le diagnostic de dysthymie, savoir que le sentiment d’épuisement prédominait, que les fluctuations de l’humeur avec des abaissements se limitaient à quelques jours et n’empêchaient pas le recourant de faire face aux exigences de la vie quotidienne, et enfin que le mauvais sommeil, la perte de confiance et les ruminations constituaient des symptômes légers. Par ailleurs, l’expert a expliqué de manière détaillée et convaincante, soit en reprenant les différentes étapes de vie du recourant, les raisons pour lesquelles il considérait que celui-ci disposait de ressources personnelles manifestes, de telle sorte que les difficultés objectivables dues à la dysthymie, atteinte caractérisée par des symptômes légers et s’inscrivant en l’occurrence dans une personnalité narcissique émotionnellement labile, étaient insuffisantes pour justifier une incapacité de travail durable au plan psychique. f) Pleine valeur probante pouvant être conférée à l’expertise judiciaire, il doit être retenu que le recourant ne présente pas d’atteinte invalidante et dispose d’une capacité de travail totale dans toute activité. g) Le dossier étant complet, permettant ainsi à la Cour de céans de statuer en pleine connaissance de cause, on ne voit pas en quoi d’autres mesures d’instruction (nouvelle et ultime expertise, IRM, interpellation du Dr K.________) seraient de nature à modifier les considérations qui précèdent. Il y a donc lieu d’y renoncer, par appréciation anticipée des preuves (ATF 140 I 285 consid. 6.3.1 ; 134 I 140 consid. 5.2 avec les références citées). En définitive, le recours, mal fondé, doit être rejeté, ce qui entraîne la confirmation de la décision attaquée.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r>
        <w:rPr>
          <w:b/>
        </w:rPr>
        <w:t>E. 6</w:t>
      </w:r>
    </w:p>
    <w:p>
      <w:r>
        <w:t>a) La jurisprudence a dégagé au cours de ces dernières années un certain nombre de principes et de critères normatifs pour permettre d’apprécier – sur les plans médical et juridique – la capacité de travail raisonnablement exigible d’un assuré souffrant d’un syndrome sans pathogenèse ni étiologie claires et sans constat de déficit organique, tel que le trouble somatoforme douloureux (TF 9C_49/2013 du 2 juillet 2013 consid. 4.1) et la fibromyalgie (ATF 132 V 65). Dans un arrêt du 3 juin 2015 publié aux ATF 141 V 281, le Tribunal fédéral a modifié sa pratique en matière d’évaluation du droit à une rente de l’assurance-invalidité en cas de troubles somatoformes douloureux et d’affections psychosomatiques assimilées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