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267/12 - 294/2013 vom 5. Dezember 2013</w:t>
      </w:r>
    </w:p>
    <w:p>
      <w:r>
        <w:t>VD Tribunal cantonal, 2013-12-05, FR</w:t>
      </w:r>
    </w:p>
    <w:p>
      <w:r>
        <w:rPr>
          <w:b/>
        </w:rPr>
        <w:t xml:space="preserve">Quelle: </w:t>
      </w:r>
      <w:r>
        <w:t>https://mcp.opencaselaw.ch/entscheid/vd_findinfo_AI_267_12_-_294_2013</w:t>
      </w:r>
    </w:p>
    <w:p>
      <w:r>
        <w:t>FR: VD_FINDINFO AI 267/12 - 294/2013 du 5 décembre 2013</w:t>
      </w:r>
    </w:p>
    <w:p>
      <w:r>
        <w:t>IT: VD_FINDINFO AI 267/12 - 294/2013 del 5 dicembre 2013</w:t>
      </w:r>
    </w:p>
    <w:p>
      <w:pPr>
        <w:pStyle w:val="Heading2"/>
      </w:pPr>
      <w:r>
        <w:t>Regeste</w:t>
      </w:r>
    </w:p>
    <w:p>
      <w:r>
        <w:t>RÉVISION{PRESTATION D'ASSURANCE}, RÉDUCTION DE LA PRESTATION D'ASSURANCE, PRESTATION D'ASSURANCE{AI}, DEMI-RENTE, CANCER DU SEIN, ÉVALUATION DE L'INCAPACITÉ DE TRAVAIL | 28 al. 1 LAI, 4 al. 1 LAI, 17 LPGA, 6 LPGA, 7 al. 1 LPGA, 8 al. 1 LPGA, 88bis al. 2 let. a RAI</w:t>
      </w:r>
    </w:p>
    <w:p>
      <w:pPr>
        <w:pStyle w:val="Heading2"/>
      </w:pPr>
      <w:r>
        <w:t>Erwägungen</w:t>
      </w:r>
    </w:p>
    <w:p>
      <w:r>
        <w:rPr>
          <w:b/>
        </w:rPr>
        <w:t>E. 1</w:t>
      </w:r>
    </w:p>
    <w:p>
      <w:r>
        <w:t>Globalement l'état de santé de Mme U.________ est stable. Il n'y a pas d'évidence clinique ni aux derniers examens radiologiques (juin 2012) d'évolution défavorable. La patiente a présenté un zona thoracique en août 2012 dont elle a récupéré.</w:t>
      </w:r>
    </w:p>
    <w:p>
      <w:r>
        <w:rPr>
          <w:b/>
        </w:rPr>
        <w:t>E. 2</w:t>
      </w:r>
    </w:p>
    <w:p>
      <w:r>
        <w:t>Le traitement de Mme U.________ n'a pas été modifié.</w:t>
      </w:r>
    </w:p>
    <w:p>
      <w:r>
        <w:rPr>
          <w:b/>
        </w:rPr>
        <w:t>E. 3</w:t>
      </w:r>
    </w:p>
    <w:p>
      <w:r>
        <w:t>Il n'existe pas de condition médicale nouvelle empêchant Mme U.________ de reprendre une activité professionnelle. Il n'existe toutefois pas d'amélioration depuis février 2012. L'absence d'activité professionnelle durant une longue période (chez Mme U.________ depuis novembre 2004) aboutit toutefois à un déconditionnement qui ne facilite pas la reprise d'une activité professionnelle.</w:t>
      </w:r>
    </w:p>
    <w:p>
      <w:r>
        <w:rPr>
          <w:b/>
        </w:rPr>
        <w:t>E. 4</w:t>
      </w:r>
    </w:p>
    <w:p>
      <w:r>
        <w:t>Un spécialiste en médecine interne est à même d'évaluer l'état de santé et sa répercussion sur sa capacité de travail comme un autre spécialiste. Toutefois, lorsque les plaintes consistent en une fatigabilité augmentée, les éléments qui permettent de définir objectivement la capacité de travail manquent et font appel à la subjectivité de l'examinateur. Toutefois, dans l'avis médical du Dr R.________, il est faux de prétendre que les internistes connaissent les médicaments oncologiques reçus par leur patiente tant qu'ils restent leur médecin de premier recours en cas d'urgence. L'expérience montre que les médecins internistes n'en ont souvent qu'une connaissance fragmentaire et imparfaite. En effet, je me demande combien les Dr R.________ et W.________ suivent de patientes traitées par de l'Herceptin et du Femara, le nombre est certainement bien en-dessous du nombre nécessaire pour se faire une idée de la pénibilité des traitements. Dans la mesure où l'incapacité de travail repose sur une fatigabilité augmentée, que celle-ci est très difficile à chiffrer, il n'est toutefois pas certain qu'une expertise effectuée par un spécialiste en oncologie produise un résultat différent.</w:t>
      </w:r>
    </w:p>
    <w:p>
      <w:r>
        <w:rPr>
          <w:b/>
        </w:rPr>
        <w:t>E. 5</w:t>
      </w:r>
    </w:p>
    <w:p>
      <w:r>
        <w:t>a) En définitive, le recours, mal fondé, doit être rejeté, ce qui entraîne la confirmation de la décision entreprise. b) Il reste à statuer sur les frais et les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mis à la charge de la recourante, qui succombe (art. 69 al. 1 bis LAI; art. 49 al. 1 LPA-VD). Il n'y a pas lieu d'allouer de dépens, la recourante n'obtenant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