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263/20 - 290/2021 vom 30. September 2021</w:t>
      </w:r>
    </w:p>
    <w:p>
      <w:r>
        <w:t>VD Tribunal cantonal, 2021-09-30, FR</w:t>
      </w:r>
    </w:p>
    <w:p>
      <w:r>
        <w:rPr>
          <w:b/>
        </w:rPr>
        <w:t xml:space="preserve">Quelle: </w:t>
      </w:r>
      <w:r>
        <w:t>https://mcp.opencaselaw.ch/entscheid/vd_findinfo_AI_263_20_-_290_2021</w:t>
      </w:r>
    </w:p>
    <w:p>
      <w:r>
        <w:t>FR: VD_FINDINFO AI 263/20 - 290/2021 du 30 septembre 2021</w:t>
      </w:r>
    </w:p>
    <w:p>
      <w:r>
        <w:t>IT: VD_FINDINFO AI 263/20 - 290/2021 del 30 settembre 2021</w:t>
      </w:r>
    </w:p>
    <w:p>
      <w:pPr>
        <w:pStyle w:val="Heading2"/>
      </w:pPr>
      <w:r>
        <w:t>Regeste</w:t>
      </w:r>
    </w:p>
    <w:p>
      <w:r>
        <w:t>DÉCISION DE RENVOI, MESURE D'INSTRUCTION{ASSURANCE SOCIALE}, MAXIME INQUISITOIRE | 28 LAI, 43 LPGA</w:t>
      </w:r>
    </w:p>
    <w:p>
      <w:pPr>
        <w:pStyle w:val="Heading2"/>
      </w:pPr>
      <w:r>
        <w:t>Erwägungen</w:t>
      </w:r>
    </w:p>
    <w:p>
      <w:r>
        <w:rPr>
          <w:b/>
        </w:rPr>
        <w:t>E. 7</w:t>
      </w:r>
    </w:p>
    <w:p>
      <w:r>
        <w:t>a) En définitive, le recours doit être admis et la cause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2'800 fr., débours et TVA compris (art. 10 et 11 TFJDA [tarif du 28 avril 2015 des frais judiciaires et des dépens en matière administrative ; BLV 173.36.5.1]), et de la mettre à la charge de la partie intimée. Cette indemnité couvre l’indemnité d’office qui aurait été allouée à Me Gillièron (cf. liste des opérations du 23 avril 2021), sans qu’il n’y ait besoin de la fixer plus précisément en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