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263/11 - 337/12 vom 29. Oktober 2012</w:t>
      </w:r>
    </w:p>
    <w:p>
      <w:r>
        <w:t>VD Tribunal cantonal, 2012-10-29, FR</w:t>
      </w:r>
    </w:p>
    <w:p>
      <w:r>
        <w:rPr>
          <w:b/>
        </w:rPr>
        <w:t xml:space="preserve">Quelle: </w:t>
      </w:r>
      <w:r>
        <w:t>https://mcp.opencaselaw.ch/entscheid/vd_findinfo_AI_263_11_-_337_12</w:t>
      </w:r>
    </w:p>
    <w:p>
      <w:r>
        <w:t>FR: VD_FINDINFO AI 263/11 - 337/12 du 29 octobre 2012</w:t>
      </w:r>
    </w:p>
    <w:p>
      <w:r>
        <w:t>IT: VD_FINDINFO AI 263/11 - 337/12 del 29 ottobre 2012</w:t>
      </w:r>
    </w:p>
    <w:p>
      <w:pPr>
        <w:pStyle w:val="Heading2"/>
      </w:pPr>
      <w:r>
        <w:t>Regeste</w:t>
      </w:r>
    </w:p>
    <w:p>
      <w:r>
        <w:t>DEMANDE DE PRESTATION D'ASSURANCE, PROCÉDURE PRÉPARATOIRE, DÉCISION DE RENVOI, EXPERTISE, EXPERTISE PLURIDISCIPLINAIRE, DROIT À LA PREUVE | 4 LAI, 44 LPGA, 7 LPGA, 8 LPGA, 87 al. 3 RAI, 87 al. 4 RAI, 87 RAI</w:t>
      </w:r>
    </w:p>
    <w:p>
      <w:pPr>
        <w:pStyle w:val="Heading2"/>
      </w:pPr>
      <w:r>
        <w:t>Erwägungen</w:t>
      </w:r>
    </w:p>
    <w:p>
      <w:r>
        <w:rPr>
          <w:b/>
        </w:rPr>
        <w:t>E. 4</w:t>
      </w:r>
    </w:p>
    <w:p>
      <w:r>
        <w:t>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w:t>
      </w:r>
    </w:p>
    <w:p>
      <w:r>
        <w:rPr>
          <w:b/>
        </w:rPr>
        <w:t>E. 8</w:t>
      </w:r>
    </w:p>
    <w:p>
      <w:r>
        <w:t>LPGA) à 40% au moins (let. c). 5. a)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Il faut toutefois relever qu'un rapport médical ne saurait être écarté au motif qu'il émane du médecin traitant ou d'un médecin se trouvant en rapport de subordination avec un assureur (TF 9C_607/2008 du 27 avril 2009, consid. 3.2). On soulignera enfin qu'il appartient en principe aux médecins de se prononcer sur la capacité de travail fonctionnelle résultant d'une atteinte à la santé. Un rapport d'un spécialiste de la réadaptation professionnelle peut toutefois aussi être pris en considération, notamment lorsqu'il existe une divergence importante entre l'évaluation de la capacité de travail faite par les médecins et les résultats obtenus pendant un stage (cf. sur cette question, l'arrêt du Tribunal fédéral du 4 juillet 2008, 9C_ 833/2007; TF 8C 468/2010).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L'office AI dispose à cet égard d'une grande liberté d'appréciation.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ATSG-Kommentar, 2ème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6. a) La recourante est atteinte dans sa santé. Si les diagnostics médicaux posés par les différents médecins qui l'ont examinée pour les atteintes à son intégrité physique ne sont pas identiques en tous points, ils peuvent être résumés comme suit. L'assurée ressent des douleurs dans les régions cervicales (cervicalgies sur cervicarthrose) et lombaires (lombalgies chroniques sur troubles statiques et dégénératifs du rachis lombaire; spondylose dorsale étagée; discopathies avec arthrose postérieure au même niveau). L'arthrose postérieure est décrite comme importante par la Dresse S.________ (rapport du 22 juin 2009). S'y ajoutent une suspicion de sclérose en plaques et divers troubles ostéo-articulaires d'origine rhumatismale (certificat du 3 avril 2009 du Dr X.________) et un déconditionnement musculaire focal et global (rapport du 7 octobre 2009 de la Dresse S.________; voir aussi les constatations de la lettre de sortie du 8 septembre 2009 du CHUV). Enfin, les médecins relèvent la présence de kystes (rapport du 14 janvier 2010 de la Dresse Y.________ et rapport du 19 février 2010 de la Dresse W.________), cette dernière diagnostiquant des troubles statiques. Enfin, se pose la problématique de la prise effective des médicaments. Sur le plan somatique, le rapport SMR des Drs N.________ et E.________ a certes admis une capacité de travail de 80% dans une activité adaptée après un examen rhumatologique et psychiatrique. Toutefois, tant la Dresse S.________ dans ses rapports des 19 mars 2008, 17 juin 2008 et 7 octobre 2009, que le Dr X.________ dans son certificat du 3 avril 2009 retiennent une incapacité de travail de 50%. Quant à la Dresse W.________, après avoir admis une incapacité de travail de 50% en novembre 2005, elle a constaté une aggravation de la symptomatologie lombaire entraînant une incapacité de travail de 100% depuis janvier 2010, puis confirmé en mai 2010 que la capacité de travail était nulle dans toute activité. Les conclusions contradictoires auxquelles parviennent les praticiens justifient d'ordonner une expertise, ce dont l'intimé convient. Cette mesure d'instruction s'impose également par le fait que l'expertise SMR a été exécutée en mars 2007, alors que la décision a été rendue en juillet 2011, apparemment dans une situation d'aggravation de l'état de santé. b) Sur le plan psychique, l'expertise du Dr F.________ comprend une anamnèse, expose les plaintes et données subjectives de la recourante, ainsi que le statut clinique, donne le résultat des tests avec les méthodes utilisées, formule les diagnostics, l'appréciation du cas et le pronostic, enfin répond aux questions posées. Le fait que l'expert n'ait vu qu'une fois la recourante (selon les déclarations de celle-ci, au cours d'un entretien qui a duré quelques 45 à 50 minutes) n'est en principe pas relevant dès lors que le rôle d'un expert consiste notamment à se faire une idée sur l'état de santé d'un assuré dans un délai relativement bref (TF 9C_386/2010 du 15 novembre 2010; TF 9C_443/2008 du 28 avril 2009; TF I 1084/06 du 26 novembre 2007 c. 4). Du point de vue formel, l'expertise du Dr F.________ apparaît ainsi conforme aux exigences posées en la matière par la jurisprudence. Cette expertise paraît en outre confortée par l'avis d'autres spécialistes (examen clinique bidisciplinaire SMR du 3 février 2004; rapport du 16 avril 2007 des Drs N.________ et E.________). Toutefois, la motivation et les conclusions de l'expertise sont mises en doute par d'autres praticiens (Dr J.________ et Dresse M.________). C'est sur la base de l'examen de la recourante et de l'étude du dossier que l'expert estime l'humeur chronique de la recourante insuffisante pour justifier le diagnostic de trouble dépressif récurrent et pour retenir une dysthymie (p. 20). Le Dr F.________ indique avoir vu la recourante à une seule reprise, le 15 mars 2011. Selon les déclarations de cette dernière à l'audience du 10 octobre 2012, son unique entretien avec le Dr F.________ a duré de 45 à 50 minutes. Dans l'expertise, les plaintes de l'assurée font l'objet d'un exposé partiel, sans référence aux souffrances psychiques (p. 13), celles-ci étant citées par la suite pour être immédiatement réfutées dans le "statut clinique". Le Dr F.________ a ainsi noté "une discordance entre ce qui est dit par l'assurée et ce qui est ressenti par l'expert" et indiqué que la recourante "dit être très triste et déprimée, mais l'expert ressent plutôt une tristesse fluctuante en fonction [des] problèmes physiques" (pp. 14/15) : le sentiment purement subjectif de l'expert, sans motivation médicale aucune, fait apparaître un examen des plaintes peu rigoureux et superficiel, d'autant que l'expert indique avoir effectué "tout au long de l'entretien" le test DMRS relatif aux "mécanismes de défense psychologiques selon une optique psychodynamique" (p. 16). L'expert s'est ainsi essentiellement fondé sur le dossier en sa possession, en d'autres termes sur des observations cliniques et des diagnostics qui diffèrent, plus ou moins selon les praticiens en cause, de ceux qu'il a retenus en définitive. Dans l'appréciation du cas et le pronostic (pp. 19 à 23), l'expert cite bien les avis des Drs J.________ et M.________. Cette dernière praticienne signale deux hospitalisations, avec un diagnostic "d'épisode dépressif moyen à sévère", si bien que le Dr F.________ ne paraît pas avoir eu à sa disposition tous les éléments de fait nécessaires pour motiver ses diagnostics. De plus, une expertise exécutée pour l'essentiel sur la base des rapports d'autres médecins doit en contrepartie exposer une argumentation sans faille qui, au terme d'une discussion complète, permet de comprendre comment l'expert parvient à ses propres conclusions. A cet égard, la démonstration proposée par l'expert (pp. 19 à 21) ne convainc toutefois pas pleinement, car elle n'accorde aucune attention à l'observation clinique lors des hospitalisations au cours desquelles d'autres spécialistes ont retenu un diagnostic de dépression récurrente sévère, avec une incapacité de travail pendant ces épisodes. L'expert est également superficiel dans son examen du cumul des affections physiques et psychiques (qui sont imbriqués de longue date), de la durée et l'enchevêtrement des pathologies, enfin de l'impact de ces éléments au cours du temps sur la capacité de travail de la recourante. c) Il y a dès lors lieu, conformément à la jurisprudence rappelée ci-dessus, de renvoyer la cause à l'OAI pour instruction complémentaire sous la forme d'une expertise rhumatologique et psychiatrique (expertise pluridisciplinaire au sens de l'art. 44 LPGA), les experts étant notamment invités à décrire l'évolution de l'état de santé de la recourante depuis la date du dépôt de la deuxième demande de rente AI en termes d'incapacité de travail, respectivement de capacité de travail résiduelle exigible. 7. Il résulte de ce qui précède que le recours, bien fondé, doit être admis, la décision attaquée annulée et la cause renvoyée à l'OAI pour instruction complémentaire dans le sens des considérants. Le recourant, qui obtient gain de cause avec l'assistance d'un avocat, a droit à des dépens qu'il convient de fixer  équitablement à 3'000 francs. Il n'y a pas lieu de mettre des frais de justice à la charge de l'assuré, qui obtient gain de cause (cf. art. 49 al. 1 LPA-VD en relation avec l'art. 69 al. 1bis LAI). En revanche, il convient d'arrêter à 400 fr. les frais de justice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