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261/13 - 198/2014 vom 6. August 2014</w:t>
      </w:r>
    </w:p>
    <w:p>
      <w:r>
        <w:t>VD Tribunal cantonal, 2014-08-06, FR</w:t>
      </w:r>
    </w:p>
    <w:p>
      <w:r>
        <w:rPr>
          <w:b/>
        </w:rPr>
        <w:t xml:space="preserve">Quelle: </w:t>
      </w:r>
      <w:r>
        <w:t>https://mcp.opencaselaw.ch/entscheid/vd_findinfo_AI_261_13_-_198_2014</w:t>
      </w:r>
    </w:p>
    <w:p>
      <w:r>
        <w:t>FR: VD_FINDINFO AI 261/13 - 198/2014 du 6 août 2014</w:t>
      </w:r>
    </w:p>
    <w:p>
      <w:r>
        <w:t>IT: VD_FINDINFO AI 261/13 - 198/2014 del 6 agosto 2014</w:t>
      </w:r>
    </w:p>
    <w:p>
      <w:pPr>
        <w:pStyle w:val="Heading2"/>
      </w:pPr>
      <w:r>
        <w:t>Regeste</w:t>
      </w:r>
    </w:p>
    <w:p>
      <w:r>
        <w:t>AI{ASSURANCE}, ALCOOLISME, ATTEINTE À LA SANTÉ PSYCHIQUE, ATTEINTE À LA SANTÉ PHYSIQUE | 28 LAI, 4 LAI, 16 LPGA, 6 LPGA, 7 LPGA, 8 LPGA</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l'espèce, est litigieuse la question de savoir si le recourant présente, en raison d'une atteinte à la santé, une diminution de sa capacité de travail et de sa capacité de gain susceptible de lui ouvrir le droit à des prestations de l’AI.</w:t>
      </w:r>
    </w:p>
    <w:p>
      <w:r>
        <w:rPr>
          <w:b/>
        </w:rPr>
        <w:t>E. 3</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donne droit à un quart de rente (cf. art. 28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(cf. ATF 124 V 265 consid. 3c et la référence citée ; TF 9C_960/2009 du 24 février 2010 consid. 2.2 et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(cf. TF 9C_960/2009 précité, loct. cit., et TF 9C_395/2007 précité, loct. cit.).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TF 9C_395/2007 précité consid.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TF 9C_395/2007 précité consid. 2.4 ; cf. TFA I 731/02 du 25 juillet 2003 consid. 2.3).</w:t>
      </w:r>
    </w:p>
    <w:p>
      <w:r>
        <w:rPr>
          <w:b/>
        </w:rPr>
        <w:t>E. 3.2</w:t>
      </w:r>
    </w:p>
    <w:p>
      <w:r>
        <w:t>et TF 9C_440/2008 du 5 août 2008), puisque les faits pertinents ont pu être constatés à satisfaction de droit.</w:t>
      </w:r>
    </w:p>
    <w:p>
      <w:r>
        <w:rPr>
          <w:b/>
        </w:rPr>
        <w:t>E. 3.3</w:t>
      </w:r>
    </w:p>
    <w:p>
      <w:r>
        <w:t>et TF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 [ATSG], in : SBVR, Soziale Sicherheit, 2 ème éd., Bâle/Genève/Munich 2007, n° 25 p. 248). La réduction n'est pas automatique, mais doit intervenir seulement lorsqu'il existe, dans le cas d'espèce, des motifs qui indiquent que l'assuré ne peut pas réaliser, dans le cadre de sa capacité de travail résiduelle, le salaire découlant des données statistiques (cf.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(cf.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(cf. ATF 137 V 71 consid. 5.2 et ATF 126 V 75 consid. 5b/bb). Le pouvoir d'examen du juge cantonal des assurances sociales s'étend à l'opportunité de la décision administrative et n'est pas limité à la violation du droit, y compris l'excès et l'abus du pouvoir d'appréciation (cf.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(cf. ATF 137 V 71 consid. 5.2). Enfin, il y a lieu de rappeler que de jurisprudence constante, la déduction globale maximale est limitée à 25% (cf. notamment TF 9C_692/2010 du 31 janvier 2011 consid. 3.5). b) Comme l’a retenu l’OAI, l’année de comparaison des revenus est en l’espèce 2013, année de l’ouverture du droit éventuel à la rente (cf. ATF 128 V 174 consid. 4a), soit un an après le début, en juillet 2012, de l’incapacité de travail durable due aux troubles somatiques du recourant (cf. art. 28 al. 1 let. b LAI). c) S'agissant du revenu sans invalidité, l'OAI s’est fondé sur un montant de 68'822 fr. 20, que le recourant ne conteste pas. d) En ce qui concerne le revenu d'invalide, l’intimé s’est basé à juste titre sur les salaires tels qu'ils ressortent de l'ESS 2010 faute de disposer alors de résultats définitifs pour l’année 2012. En l'occurrence, le salaire de référence est celui auquel pouvaient prétendre en 2010 les hommes effectuant des activités simples et répétitives dans le secteur privé, à savoir 4'901 fr. par mois, part au treizième salaire comprise (ESS 2010, TA1, niveau de qualification 4). Compte tenu du fait que les salaires bruts standardisés se basent sur un horaire de travail de quarante heures, soit une durée hebdomadaire inférieure à celle prévalant dans les entreprises en 2010 (41,6 heures [La Vie économique 6-2014, p. 84, tableau B9.2], et non 41,7 heures comme retenu par l’OAI), le salaire mensuel de 4'901 fr. évoqué ci-dessus représente un revenu d'invalide de 5'097 fr. 04 par mois (4'901 fr. x 41,6 : 40 heures), soit 61'164 fr. 48 par année. Cela étant, le recourant prétend qu’il n’est pas en mesure de réaliser un horaire de travail de 40 heures par semaine, comme il est d’usage dans une activité légère dans le domaine de la production et des services, et qu’il convient de procéder à une expertise pour déterminer le nombre d’heures de travail exigibles par semaine, eu égard notamment aux difficultés de concentration induites par ses troubles psychiques (cf. réplique du 3 février 2014). Ces griefs sont toutefois mal fondés, dès lors que l’instruction sur le plan médical a démontré que le recourant était à même de travailler à temps complet dans une activité adaptée et qu’il ne présentait en définitive aucune atteinte psychique susceptible d’être prise en considération par l’AI (cf. consid. 5a à c supra). Il sied encore d’adapter le montant susdit de 61'164 fr. 48 à l’évolution des salaires nominaux de 2010 à 2013 (+ 1.00% de 2010 à 2011 et + 0.80% de 2011 à 2012, étant précisé que l’indexation de 2012 à 2013 n’était pas connue lorsque l’intimé a statué), opération qui permet d’aboutir à un revenu annuel de 62'270 fr. 33. A ce salaire, il convient encore d’appliquer un facteur de réduction, que l'intimé a fixé en l'espèce à 10% eu égard aux limitations fonctionnelles du recourant, déduction que l’intéressé estime insuffisante. L’assuré considère plus particulièrement qu’un abattement de 25% doit être imputé sur le revenu d’invalide dans la mesure où il est âgé de 50 et ne pourra que difficilement réintégrer le marché du travail (cf. réplique du 3 février 2014). Quoi qu’en dise le recourant, le critère de l'âge n'a que peu de poids en présence d'un niveau de qualification 4 selon l'ESS, dans la mesure où de telles catégories de travailleurs ne sont pas recherchées sur le marché du travail en fonction de leur âge et où leur salaire a tendance à augmenter jusqu'à l'âge de 65 ans, ce qui implique que les revenus réels perçus par les travailleurs les plus âgés dépassent les revenus hypothétiques définis par les statistiques (cf. TF 8C_373/2008 du 28 août 2008, consid. 5.2.2.2 et U 11/07 du 27 février 2008 consid. 8.4). En tout état de cause, il reste que le recourant était âgé de 49 ans au moment où la décision litigieuse a été rendue, ce qui ne correspond de loin pas à la limite d'âge à partir de laquelle le Tribunal fédéral admet qu'il peut être difficile pour un assuré de se réinsérer sur le marché du travail (cf. TF 9C_428/2010 du 10 mars 2011 consid. 2.2). Pour le reste, outre les limitations fonctionnelles du recourant, l’analyse du dossier ne révèle aucune autre circonstance personnelle ou professionnelle – au sens de la jurisprudence (cf. consid. 6a supra) – susceptible de contribuer à désavantager l'assuré au moment d'un éventuel engagement. Or, à la lumière des seules limitations fonctionnelles de l’intéressé, le taux d'abattement de 10 % retenu par l'administration n’est pas critiquable. Il n'existe dès lors aucun motif pertinent de s'en écarter. Par conséquent, le revenu d’invalide s’élève en définitive à 56'043 fr. 30. e) Après comparaison du revenu d'invalide (56'043 fr. 30) avec celui sans invalidité (68'822 fr. 20), il résulte une perte de gain de 12'778 fr. 90 correspondant à un degré d’invalidité de 18,57% (12'778 fr. 90 / 68'822 fr. 20 x 100). Conformément à la jurisprudence (cf. ATF 130 V 121 consid. 3.2), ce taux doit être arrondi à 19% et s’avère ainsi inférieur au seuil de 40% ouvrant le droit à une rente d’invalidité (cf. consid. 3a supra).</w:t>
      </w:r>
    </w:p>
    <w:p>
      <w:r>
        <w:rPr>
          <w:b/>
        </w:rPr>
        <w:t>E. 4</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I 312/06 du 29 juin 2007 consid. 2.3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125 V 351 consid. 3a ; cf. TF 9C_104/2014 du 30 mai 2014 consid. 4.1).</w:t>
      </w:r>
    </w:p>
    <w:p>
      <w:r>
        <w:rPr>
          <w:b/>
        </w:rPr>
        <w:t>E. 5</w:t>
      </w:r>
    </w:p>
    <w:p>
      <w:r>
        <w:t>Se fondant sur l’expertise psychiatrique du Dr C.________, l’OAI a retenu, aux termes de la décision litigieuse, que l’assuré présentait une incapacité de gain due avant tout à sa toxicodépendance et que l’on ne pouvait dès lors admettre d’invalidité au sens de la loi. De son côté, le recourant a contesté cette analyse en faisant valoir que, d’une part, les conclusions du Dr C.________ – mal interprétées par l’office – permettaient de reconnaître l’existence de troubles psychiques incapacitants et que, d’autre part, l’intimé avait fait fi de l’expertise du Dr H.________ portant sur l’aspect somatique. Par la suite, à l’occasion de sa réponse du 6 janvier 2014, l’OAI a rectifié sa positon en retenant que d’un point de vue tant somatique que psychique, l’intéressé n’était certes plus à même d’exercer sa profession habituelle de soudeur mais qu’il conservait en revanche une pleine capacité de travail dans une activité adaptée à ses limitations fonctionnelles. Cela étant, il convient donc d’examiner si le recourant présente des atteintes à la santé tant psychique que physique susceptibles d’influer sur sa capacité de travail et de gain. a) Il apparaît tout d’abord que les parties ne contestent pas les conclusions de l’expertise psychiatrique du Dr C.________ à proprement parler, mais qu’elles en tirent chacune une interprétation différente. aa) Dans son rapport d’expertise du 2 janvier 2013, le Dr C.________ a retenu les diagnostics se répercutant sur la capacité de travail de troubles mentaux ou du comportement liés à l’utilisation de l’alcool, avec syndrome de dépendance (depuis 2004), et de trouble anxieux sans précision (depuis 2011) ; il a par ailleurs mentionné un trouble dépressif récurrent, épisode actuel léger sans syndrome somatique (depuis 2004), dépourvu d’impact sur la capacité de travail. L’expert a dûment expliqué les raisons l’ayant conduit à retenir les diagnostics susdits. Concernant la dépendance à l’alcool, il a précisé qu’il s’agissait là d’une problématique secondaire, ayant lieu de manière délibérée pour faire face à un mal-être psychique ainsi que dans le contexte d’une fragilité constitutionnelle psychique (cf. rapport d’expertise du 2 janvier 2013 p. 14), et n’entraînant pas de séquelles psychiques incapacitantes mais accentuant la symptomatologie dépressive et anxieuse (cf. ibid. p. 15). Il a en outre exposé que les circonstances du cas particulier ne permettaient pas de retenir un trouble panique, mais que l’assuré présentait en revanche une anxiété suffisamment marquée pour conclure à un trouble anxieux sans précision, lié à des conditions de vie adverses mais également entretenu par la problématique alcoolique (cf. ibid. p. 16). Quant à l’humeur, l’expert a retenu qu’actuellement celle-ci n’était que légèrement déprimée et qu’il n’y avait notamment pas de réduction de l’énergie ou de diminution de l’élan vital (cf. ibid. p. 16). En outre, le Dr C.________ a indiqué de manière détaillée et convaincante les motifs l’ayant amené à écarter les autres diagnostics retenus par ses confrères. En particulier, l’expert a expliqué que les différents critères permettant de conclure à un trouble de la personnalité n’étaient pas réalisés en l’espèce (cf. ibid. pp. 12 à 14), l’assuré présentant tout au plus une structuration constitutionnelle psychique précaire, avec une vulnérabilité à l’émergence d’une symptomatologie dépressive, anxieuse et à l’abus de substances psycho-actives (cf. ibid. p. 14). Le Dr C.________ a également réfuté tout diagnostic en lien avec la prise de stupéfiants, l’intéressé ayant cessé d’en consommer, et a relevé qu’il n’y avait pas non plus d’arguments en faveur de séquelles persistantes en lien avec les toxicomanies passées (cf. ibid. p. 15). Ce médecin a de surcroît observé que l’on ne pouvait conclure à un trouble affectif bipolaire, l’assuré n’ayant présenté de tels symptômes que pendant les périodes de consommation de cocaïne associée à de l’alcool (cf. ibid. p. 15). Enfin, le Dr C.________ a expliqué qu’il n’y avait pas lieu de retenir un trouble d’hyperactivité avec déficit de l’attention chez l’adulte, les critères requis en la matière n’étant pas réalisés (cf. ibid. p. 17). Sur cette base, l’expert a retenu que le recourant présentait des limitations fonctionnelles psychiques sous forme d’angoisse, d’intolérance à la pression psychique et de fragilité – limitations accentuées par la problématique alcoolique et en cela incompatibles avec le métier de soudeur. Concernant l’évaluation de la capacité de travail, le Dr C.________ a indiqué que dans l’immédiat, l’état de l’assuré était trop instable pour pouvoir envisager l’exercice d’une activité. Il a néanmoins relevé qu’à long terme, le métier de soudeur pourrait être considéré après l’arrêt des alcoolisations et la fin de la période d’incertitudes socio-économiques actuelle, et que dans une activité adaptée, la fin des alcoolisations pourrait être suivie par la reprise d’une activité simple, itérative, non dangereuse, sans responsabilités étendues ni prises de décisions importantes, tout d’abord à 50% puis, après deux mois environ, à plein temps (cf. ibid. p. 17 s.) Sous l’angle de la réadaptation professionnelle, l’expert a confirmé que l’abstinence d’alcool était susceptible de permettre un amenuisement de la symptomatologie dépressive et surtout de la symptomatologie anxieuse ainsi que la récupération d’une capacité de travail, dans un premier temps, dans une activité adaptée et, en termes de longue échéance, en tant que soudeur possiblement (cf. ibid. p 19). Rien n’incite à douter de l’appréciation du Dr C.________. En effet, les autres avis psychiatriques au dossier (cf. expertise psychiatrique pénale du 27 février 2007 et avis des médecins de la Consultation de R.________ des 4 juin 2009, 12 août 2009, 4 janvier 2011, 16 mars 2011, 6 juin 2011 et 15 décembre 2011) – soigneusement examinés par l’expert – ne contiennent aucun élément concret qui aurait échappé à l’analyse circonstanciée du Dr C.________ et qui justifierait de s’en écarter, mais constituent tout au plus une appréciation différente de la situation du recourant. Le même constat s’impose en ce qui concerne les comptes-rendus du Dr A.________ (cf. comptes-rendus des 14 mai, 12 juillet et 22 août 2013) ; on notera en particulier qu’en considérant que la consommation d’alcool de l’assuré était induite par la problématique psychique (cf. constats des 14 mai, 12 juillet et 22 août 2013), le médecin traitant a en définitive rejoint l’analyse de l’expert psychiatre qualifiant la dépendance à l’alcool de secondaire à des difficultés psychiques. Dans ces conditions, on retiendra que le rapport d’expertise du Dr C.________, qui comporte des conclusions claires et bien motivées relevant d’un examen approfondi du cas du recourant, satisfait en tous points aux réquisits jurisprudentiels en matière de valeur probante (cf. consid. 4b supra). bb) Sur la base de l’expertise du Dr C.________, les parties ont chacune défendu une position différente. Ainsi, l’OAI a retenu que les troubles psychiques de l’assuré étaient induits par sa consommation d’alcool (cf. avis juriste du 21 juin 2013), respectivement que l’incapacité de gain était avant tout due à la toxico-dépendance (cf. projet de décision du 24 juin 2013 et décision du 12 septembre 2013), ce qui ne pouvait justifier l’octroi de prestations de l’AI. Quant au recourant, il a fait valoir que ses problèmes de boisson étaient dus à ses troubles dépressifs et – surtout – anxieux (cf. mémoire de recours du 18 octobre 2013). A l’examen du rapport d’expertise du 2 janvier 2013, on constate que le Dr C.________ a indiqué que l’assuré – dont les premiers contacts avec l’alcool remontaient à l’adolescence et s’étaient ensuite accrus lors du service militaire puis à nouveau dès 2004 – présentait une dépendance à l’alcool secondaire, en ce sens qu’il avait délibérément recours à la boisson pour faire face à un mal-être psychique et un contexte de fragilité constitutionnelle psychique (cf. rapport d’expertise du 2 janvier 2013 p. 14). A elle seule, cette assertion ne constitue cependant pas encore un fondement suffisant pour conclure, sur le plan juridique, à une invalidité du chef d’une dépendance à l’alcool. En effet, pour que soit admise une invalidité du chef d’un comportement addictif, la jurisprudence exige que la comorbidité psychiatrique à l’origine de cette dépendance présente un degré de gravité et d’acuité suffisant pour justifier, en soi, une diminution de la capacité de travail et de gain, qu’elle soit de nature à entraîner l’émergence d’une telle dépendance et qu’elle y contribue pour le moins dans des proportions considérables (cf. consid. 3c supra). Dans le cas particulier, le Dr C.________ n’a toutefois retenu aucun diagnostic se répercutant sur la capacité de travail en lien avec le mal-être psychique ou la fragilité constitutionnelle psychique ayant amené à une consommation excessive d’alcool, difficultés qui n’ont du reste pas empêché l’intéressé de travailler par le passé. L’expert a en revanche fait mention d’un trouble anxieux incapacitant depuis 2011, lié aux conditions de vie adverses du recourant – soit un facteur extra-médical – et entretenu par la problématique alcoolique, cette dernière accentuant les limitations fonctionnelles constatées (cf. rapport d’expertise du 2 janvier 2013 pp. 12, 16 et 17). Il a plus précisément relevé que l’aptitude au travail était affectée par la symptomatologie anxieuse, la mauvaise structure constitutionnelle psychique (fragilité, dans le sens d’une réactivité aux stresseurs existentiels) ainsi que la problématique alcoolique, celle-ci amplifiant l’angoisse et l’intolérance au stress et contribuant indirectement à l’incapacité de travail (cf. ibid. p. 17 s.). Quand bien même l’expert a ainsi mis en évidence l’interaction entre les différents troubles constatés, on ne saurait pour autant conclure à une invalidité du fait de ces atteintes. En effet, le Dr C.________ a explicitement indiqué que l’abstinence d’alcool – médicalement exigible, sous surveillance spécialisée – était susceptible de permettre non seulement un amenuisement de la symptomatologie dépressive et surtout de la symptomatologie anxieuse, mais également la récupération d’une capacité de travail, dans un premier temps, dans une activité adaptée et, en termes de longue échéance, en tant que soudeur (cf. ibid. p. 17 et p. 19 let. C ch. 2.1 et 2.2). En ce sens, il ne résulte pas des conclusions du Dr C.________ que le trouble anxieux ou la fragilité psychique de l’assuré seraient tels qu’ils empêcheraient la reprise d’une activité adaptée ou, à terme, de l’activité habituelle. Il apparaît bien au contraire que, sous l’angle psychique, c’est la problématique alcoolique du recourant qui fait obstacle à la mise à profit d’une pleine capacité de travail et de gain sur le marché du travail. Or, même s’il est indubitable que l’alcoolisme a conduit le recourant à une déchéance sociale prononcée, cet état ne saurait à ce stade être assimilé à une atteinte à la santé à caractère invalidant. Dans ces conditions, on ne peut tenir pour établi, au degré de la vraisemblance prépondérante, que l’assuré présente une atteint à la santé psychique susceptible d’entraîner une invalidité. En conséquence, on retiendra donc que l’intimé était fondé à se baser sur le rapport d’expertise psychiatrique du Dr C.________ du 2 janvier 2013 pour conclure à l’absence d’atteinte à la santé invalidante du registre psychiatrique. b) Par ailleurs, il est constant que le Dr H.________, mandaté par l’assureur perte de gain J.________, a mis en évidence des troubles physiques. aa) Dans son rapport d’expertise du 7 avril 2013, ce médecin a retenu que l’assuré – qui s’était trouvé en arrêt de travail dès le 12 juillet 2012 en raison de douleurs cervicales prolongées d’une douleur intéressant le membre supérieur droit, avec des paresthésies ressenties comme des fourmillements sur les mêmes territoires – présentait des cervico-brachialgies droites irritatives et déficitaires ainsi qu’une discopathie latérale et foraminale droite de C6-C7. L’expert a estimé que du point de vue rhumatologique, la capacité de travail de l’intéressé était nulle dans la profession de soudeur au regard des contraintes de charge et des positions non ergonomiques impliquées par une telle activité. Le Dr H.________ a en revanche retenu que la capacité de travail demeurait entière dans une activité adaptée, à savoir une activité permettant d’alterner les positions assise et debout aux heures et évitant les travaux lourds, le port de charges de plus de 10 kg de manière ponctuelle et de 5 kg de manière répétitive, les mouvements répétitifs impliquant la nuque ainsi que la position statique prolongée au-delà d’une heure (cf. rapport d’expertise du 7 avril 2013 p. 6 s.). bb) L’analyse du Dr H.________ n’est contredite par aucune pièce du dossier. Son analyse s’accorde notamment avec les observations formulées par le radiologue I.________ (cf. rapport du 3 août 2012) et le neuroradiologue P.________ (cf. rapport du 22 août 2012). En outre, le fait que le radiologue M.________ ait de son côté estimé que la symptomatologie du recourant touchait plutôt le niveau C5-C6 que C6-C7 n’a aucune incidence sur l’évaluation de la capacité de travail et de gain. Enfin, le Dr A.________ s’est quant à lui contenté d’évoquer des troubles somatiques faisant obstacle à l’activité de soudeur ou à toute activité lourde (cf. constats des 14 mai, 8 juillet, 12 juillet et 22 août 2013), conformément à l’appréciation du Dr H.________. A cela s’ajoute que le rapport d’expertise du 7 avril 2013 expose en détail la situation sous l’angle somatique et en tire des conclusions claires et bien motivées. Il y a donc lieu de considérer que ce rapport satisfait aux exigences requises en matière de valeur probante (cf. consid. 4b supra). Au reste, les conclusions du Dr H.________ ne sont en aucun cas remises en question par le recourant. Quant à l’OAI, s’il s’est prononcé dans la décision entreprise en faisant abstraction de l’évaluation de cet expert, il a rectifié sa position à l’occasion de sa réponse du 6 janvier 2014, retenant que le recourant n’était plus à même d’exercer son métier de soudeur mais qu’il conservait en revanche une pleine capacité de travail dans une activité adaptée à ses limitations fonctionnelles. Cela étant, il y a donc lieu de retenir, sur la base des conclusions de l’expertise du Dr H.________, que la capacité de travail du recourant est nulle dans son activité habituelle de soudeur mais entière dans une activité adaptée à ses limitations fonctionnelles somatiques. c) En définitive, il faut donc conclure que le recourant dispose d’une capacité de travail nulle dans l’activité de soudeur mais totale dans une activité adaptée. En ce sens, l’examen de l’intimé – tel que résultant de la réponse du 6 janvier 2014 – échappe donc à la critique. Le dossier étant complet, permettant ainsi à la Cour de céans de statuer en pleine connaissance de cause, il n'y a pas lieu d'ordonner une instruction complémentaire sous la forme d'une expertise pluridisciplinaire, telle que requise par le recourant. En effet, une telle mesure d'instruction ne serait pas de nature à modifier les considérations qui précèdent (appréciation anticipée des preuves ; cf. ATF 122 II 464 consid. 4a ; cf. TF 8C_764/2009 du 12 octobre 2009 consid.</w:t>
      </w:r>
    </w:p>
    <w:p>
      <w:r>
        <w:rPr>
          <w:b/>
        </w:rPr>
        <w:t>E. 6</w:t>
      </w:r>
    </w:p>
    <w:p>
      <w:r>
        <w:t>Reste à déterminer le préjudice économique subi par le recourant du fait de ses atteintes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Le revenu hypothétique de la personne valide se détermine en établissant au degré de la vraisemblance prépondérante ce qu'elle aurait effectivement pu réaliser au moment déterminant si elle était en bonne santé (cf. ATF 134 V 322 consid. 4.1 et ATF 129 V 222 consid. 4.3.1 ; cf.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publiée par l'Office fédéral de la statistique (cf. ATF 129 V 472 consid. 4.2.1 ; cf. TF 9C_900/2009 du 27 avril 2010 consid.</w:t>
      </w:r>
    </w:p>
    <w:p>
      <w:r>
        <w:rPr>
          <w:b/>
        </w:rPr>
        <w:t>E. 7</w:t>
      </w:r>
    </w:p>
    <w:p>
      <w:r>
        <w:t>Le recourant estime en outre avoir droit à des mesures de reconversion professionnelle. a) L'art. 8 al. 1 LAI pose le principe de l'octroi, en faveur des assurés invalides ou menacés d'une invalidité, de mesures de réadaptation nécessaires et de nature à rétablir leur capacité de gain, à l'améliorer ou à la sauvegarder ou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(cf. ATF 130 V 488 consid. 4.2 et 124 V 108 consid. 2b ; cf. TF 9C_818/2007 du 11 novembre 2008 consid. 2.2 et 8C_36/2009 du 15 avril 2009 consid. 4). Le droit à une mesure de réadaptation suppose qu'elle soit appropriée au but de la réadaptation poursuivi par l'assurance-invalidité, tant objectivement en ce qui concerne la mesure que sur le plan subjectif en ce qui concerne la personne de l'assuré (cf. VSI 2002 p. 112 consid. 2 et les références). b) Dans le cas particulier, le recourant présente un degré d’invalidité de 19% qui ne permet pas à lui seul d’exclure le droit à des mesures de reconversion professionnelle (cf. TFA I 645/04 du 26 septembre 2005 consid.</w:t>
      </w:r>
    </w:p>
    <w:p>
      <w:r>
        <w:rPr>
          <w:b/>
        </w:rPr>
        <w:t>E. 7.2</w:t>
      </w:r>
    </w:p>
    <w:p>
      <w:r>
        <w:t>et la référence citée). Cela dit, quoi qu’en ait pensé le Dr Q.________ dans son avis SMR du 26 avril 2011, il ressort du rapport d’expertise du Dr C.________ – dont les conclusions sont pleinement probantes (cf. consid. 5a/aa supra) – que des mesures de réadaptation ne seront pas envisageables tant que persistera la problématique alcoolique du recourant (cf. rapport d’expertise du 2 janvier 2013 p. 19 let. C ch. 1), étant rappelé sur ce point qu’une abstinence à l’alcool définitive, contrôlée et documentée est médicalement exigible (cf. ibid. p. 19 let. C ch. 2.1). On relèvera du reste que l’abus d’alcool avait déjà contribué en 2011 à mettre en échec la prise en charge de l’assuré à la O.________ (cf. note d’entretien téléphonique du 11 mai 2011 et rapport des Drs N.________ et G.________ du 6 juin 2011). Or, en l’état du dossier, il n’est nullement démontré que l’intéressé serait désormais durablement abstinent. Tout au plus le rapport d’expertise du Dr H.________ évoque-t-il une nouvelle prise en charge à la O.________ en vue d’une tentative de sevrage (cf. rapport d’expertise du 7 avril 2013 p. 3). Ce but n’avait toutefois manifestement pas été atteint le 12 juillet 2013, lorsque le Dr A.________ a évoqué – sans pour autant l’étayer d’une quelconque façon – une consommation d’alcool certes en baisse et sous contrôle, mais néanmoins toujours persistante. De telles circonstances plaident donc à l’encontre de la mise en œuvre de mesures de reconversion professionnelle. A cela s’ajoute que dans un marché du travail équilibré, le recourant dispose d’un éventail de postes suffisamment large et diversifié dans des activités adaptées à ses limitations et pour lesquelles une mise au courant suffit. Sur le vu de ce qui précède, des mesures professionnelles n’ont par conséquent pas lieu d’être. Tout au plus relèvera-t-on qu’en ce qui concerne l'aide au placement, l’intimé a indiqué être disposé à la mise en œuvre d’une telle mesure pour autant que le recourant en fasse la demande.</w:t>
      </w:r>
    </w:p>
    <w:p>
      <w:r>
        <w:rPr>
          <w:b/>
        </w:rPr>
        <w:t>E. 8</w:t>
      </w:r>
    </w:p>
    <w:p>
      <w:r>
        <w:t>a) En conclusion, le recours introduit le 18 octobre 2013 par F.________ doit être rejeté et la décision attaquée du 12 septembre 2013, rectifiée le 6 janvier 2014, confirmée.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Le recourant bénéficie, au titre de l'assistance judiciaire, de la commission d'office d'un avocat en la personne de Me Kathrin Gruber (cf. art. 118 al. 1 let. c CPC, applicable par renvoi de l'art. 18 al. 5 LPA-VD). Le 25 juin 2014, Me Gruber a produit le relevé des opérations effectuées pour le compte du recourant. Son activité a été contrôlée au regard de la conduite du procès et rentre globalement dans le cadre du bon accomplissement du mandat, de sorte qu'elle doit être arrêtée à six heures au tarif horaire de 180 fr. (cf. art. 2 al. 1 let. a RAJ [règlement cantonal vaudois du 7 décembre 2010 sur l'assistance judiciaire civile ; RSV 211.02.3]), à quoi s'ajoutent les débours par 50 fr. et la TVA au taux de 8%, ce qui représente un montant total de 1'220 fr. 40 pour l'ensemble de l'activité déployée dans la présente cause. Cette rémunération est provisoirement supportée par le canton, le recourant étant rendu attentif au fait qu'il est tenu d'en rembourser le montant dès qu'il sera en mesure de le faire (cf. art. 123 al. 1 CPC). Il incombe au Service juridique et législatif de fixer les modalités de ce remboursement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