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260/10 - 117/2012 vom 29. März 2012</w:t>
      </w:r>
    </w:p>
    <w:p>
      <w:r>
        <w:t>VD Tribunal cantonal, 2012-03-29, FR</w:t>
      </w:r>
    </w:p>
    <w:p>
      <w:r>
        <w:rPr>
          <w:b/>
        </w:rPr>
        <w:t xml:space="preserve">Quelle: </w:t>
      </w:r>
      <w:r>
        <w:t>https://mcp.opencaselaw.ch/entscheid/vd_findinfo_AI_260_10_-_117_2012</w:t>
      </w:r>
    </w:p>
    <w:p>
      <w:r>
        <w:t>FR: VD_FINDINFO AI 260/10 - 117/2012 du 29 mars 2012</w:t>
      </w:r>
    </w:p>
    <w:p>
      <w:r>
        <w:t>IT: VD_FINDINFO AI 260/10 - 117/2012 del 29 marzo 2012</w:t>
      </w:r>
    </w:p>
    <w:p>
      <w:pPr>
        <w:pStyle w:val="Heading2"/>
      </w:pPr>
      <w:r>
        <w:t>Regeste</w:t>
      </w:r>
    </w:p>
    <w:p>
      <w:r>
        <w:t>LOI FÉDÉRALE SUR L'ASSURANCE-INVALIDITÉ, AI{ASSURANCE}, NOUVELLE DEMANDE, AGGRAVATION DE L'ATTEINTE À LA SANTÉ, MODIFICATION{EN GÉNÉRAL}, ÉTAT DE SANTÉ, ÉVALUATION DE L'ATTEINTE À LA SANTÉ, ÉVALUATION MÉDICO-THÉORIQUE | 28 LAI, 4 LAI, 17 LPGA</w:t>
      </w:r>
    </w:p>
    <w:p>
      <w:pPr>
        <w:pStyle w:val="Heading2"/>
      </w:pPr>
      <w:r>
        <w:t>Erwägungen</w:t>
      </w:r>
    </w:p>
    <w:p>
      <w:r>
        <w:rPr>
          <w:b/>
        </w:rPr>
        <w:t>E. 9</w:t>
      </w:r>
    </w:p>
    <w:p>
      <w:r>
        <w:t>juin 2010. Le recourant conclut, sous suite de dépens, à la réforme de la décision attaquée en ce sens qu'il a droit à une rente entière d'invalidité dès la date que justice dira, subsidiairement à l'annulation de la décision attaquée. Il fait état d'une sensible aggravation de son état de santé en raison d'un accident survenu le 25 février 2007 lequel a causé des séquelles l'empêchant d'exercer une quelconque activité professionnelle exigible sur le marché général du travail, même réputé équilibré. Il requiert enfin la jonction du présent recours avec celui en matière d'assurance-accidents (AA 23/10) et par conséquent, une dispense de l'avance de frais. b) Dans sa réponse du 4 octobre 2010, l'Office AI a proposé le rejet du recours et le maintien de la décision attaquée. c) Dans sa réplique du 16 novembre 2010, le recourant s'est référé à celle déposé le même jour dans le cadre du litige l'opposant à la CNA. Il soutient ainsi que la CNA ne saurait écarter l'avis du Dr A.L.________ en se référant simplement au fait qu'elle a estimé antérieurement que les vertiges n'étaient pas consécutifs à l'accident de 1999. Il ajoute que ses vertiges se sont aggravés au point de provoquer désormais des chutes assez fréquentes. Il confirme dès lors la nécessité d'une instruction complémentaire. d) Dans sa duplique du 22 décembre 2010, l'Office AI s'est référé au rapport du 27 janvier 2009 du SMR faisant suite à un examen clinique orthopédique concluant à une pleine capacité de travail de l'assuré dans une activité adaptée à ses limitations fonctionnelles. Ce rapport remplissant toutes les conditions auxquelles la jurisprudence soumet la valeur probante d'un rapport médical, l'Office AI a confirmé sa décision du 9 juin 2010. e) Par courrier du 22 novembre 2011, le recourant a produit un rapport médical du 18 novembre 2011 de la Dresse F.________, spécialiste en neurochirurgie, qui préconise une expertise rhumatologique en raison de la pathologie lombaire et cervicale chronique malgré la composante traumatique qui a causé la pathologie intra-médullaire. f) Par lettre du 6 décembre 2011, le recourant a soumis les questions qui pouvaient être posées dans le cadre d'une expertise rhumatologique et orthopédique (en ce qui concerne le genou). Il soutient ainsi que les dernières observations médicales sont anciennes et ne tiennent pas compte des éléments nouveaux découverts récemment (atteinte intra-médullaire). D. Le 16 février 2012, le juge instructeur a informé les parties que cette cause était instruite et jugée parallèlement à la cause AA 23/10 (recours de l'assuré contre une décision du 20 janvier 2010 de la CNA). Il est donc tenu compte, dans la présente cause, du dossier de la CNA.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Interjeté le 8 juillet 2010, dans le délai légal de trente jours dès la notification de la décision entreprise, le recours a été déposé en temps utile (art. 60 al. 1 LPGA) auprès du tribunal compétent. Respectant pour le surplus les autres conditions de forme prévues par la loi (art. 61 let. b LPGA), il est recevable. 2. En l'espèce, le recourant conteste un refus de révision de la décision initiale. Dès lors, le litige porte sur la question de savoir si l'état de santé du recourant s'est aggravé, de sorte qu'il pourrait prétendre à une rente d'invalidité.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En l’occurrence, l'intimé est entré en matière sur la nouvelle demande de prestations de l'assuré. Ainsi, après avoir examiné l'ensemble du dossier médical à sa disposition jusqu'à la date de la décision attaquée du 9 juin 2010, il a considéré que l’état de santé physique du recourant ne justifiait pas l'octroi d'une rente et de mesures professionnelles. Pour sa part, le recourant soutient qu'il n'est plus en mesure d'exercer une activité professionnelle, ajoutant qu'au vu du rapport médical du 18 novembre 2011 de la Dresse F.________, la mise en œuvre d'une expertise rhumatologique s'impose. a) Il y a dès lors lieu d'examiner si le degré d'invalidité s'est modifié au point d'influencer le droit aux prestations, en procédant à la comparaison des situations de fait existant au moment la dernière décision entrée en force qui repose sur un examen matériel du droit à la rente, soit le jugement du 29 mars 2006 du Tribunal des assurances et la décision litigieuse du 9 juin 2010. Pour statuer sur le droit à la rente, le Tribunal des assurances, dans son jugement du 29 mars 2006 faisant suite au recours formé contre la décision sur opposition du 6 décembre 2004, s'est référé au rapport du 17 octobre 2000 de la Clinique J.________ qui faisait état de l'existence chez l'assuré de rachialgies diffuses, de troubles statiques discrets, ainsi que de vertiges centraux apparus dans les suites de l'accident de 1999; les médecins de la Clinique J.________ ont en outre relevé que seuls les vertiges limitaient l'aptitude au travail, en hauteur, en raison du risque lié aux pertes d'équilibre. Ils ont dès lors conclu que la capacité de travail de l'intéressé était de 100 % dans une activité excluant le travail sur les toits, les échafaudages, les escabeaux, ainsi que la conduite automobile. Les conclusions des médecins de la Clinique J.________ étant sérieusement motivées et cohérentes, il n'existe aucun indice concret permettant de mettre en doute leur bien-fondé. Il n'y a donc aucun motif de s'en écarter. Dans leur rapport médical du 8 décembre 2003 faisant suite à un examen clinique du recourant du 6 novembre 2003, les Dresses Y.________ et P.________ du SMR ont relevé que sur le plan somatique, la capacité de travail exigible était entière, se référant sur ce point aux rapports médicaux retenus par la CNA pour fonder ses conclusions. Les conclusions du Dr K.________ quant à la reconnaissance d'une totale incapacité de travail (rapport du 3 décembre 2001) n'étaient donc corroborées par aucun autre document médical, pas même par le rapport du 21 juin 2002 du Dr Q.________, lequel ne se prononçait pas quant au taux d'incapacité de travail du recourant. b) Si les différents praticiens s'accordent à dire que le recourant présente une pathologie au niveau du genou gauche suite à l'accident du 25 février 2007, ainsi que des cervicalgies, des dorsalgies, des lombalgies et des vertiges d'origine indéterminée, ils divergent s'agissant de l'évaluation de la capacité de travail de l'assuré compte tenu des atteintes qu'il présente. Il y a dès lors lieu de déterminer si le tableau douloureux présenté par l'assuré relève d'une pathologie objectivable sur le plan somatique, susceptible de constituer une aggravation de son état de santé.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5. En l'espèce, l'assuré se plaint essentiellement d'une aggravation de son état de santé en raison de douleurs cervicales, de douleurs aux genoux et de vertiges. a) S'agissant des cervicalgies, l'assuré a précisé que les douleurs apparaissaient lorsqu'il faisait des mouvements de rotation de la tête; au repos, il avait peu de douleurs. L'IRM cervicale pratiquée le 12 février 2008 a révélé les mêmes lésions que sur celle effectuée le 7 novembre 2006, soit une protusion discale C4-C5 et des hernies discales C5-C6 et C6-C7. Dans son rapport du 27 janvier 2009, le Dr S.________ a écarté tout trouble neurologique, précisant qu'il n'y avait pas de trouble de la statique, ni sur le plan frontal, ni sur le plan sagittal. Pour sa part, le Dr A.L.________ a évoqué des douleurs discrètes à la mobilisation dans toutes les directions, sans retenir toutefois de contracture musculaire, de limitation fonctionnelle particulière, ni d'indication chirurgicale (rapport médical du 28 août 2007). b) Le recourant se plaint en outre de vertiges intermittents surtout lors des changements de position, en particulier en se relevant, mais également en position assise ou couchée. Cette pathologie ne repose toutefois sur aucune constatation médicale objective. Ainsi, si le Dr A.L.________ a signalé la présence de vertiges en précisant qu' "il me paraît évident que cette symptomatologie est consécutive à l'accident de 1999" , il n'a émis qu'une appréciation générale sur la base des plaintes de son patient. En outre, l'IRM cérébrale pratiquée le 26 janvier 2007 était dans les limites de la norme, de même que l'EMG (électromyogramme) effectuée le 14 mars 2008. En tout état de cause, le Dr A.L.________ n'a mis en évidence aucune aggravation de cette atteinte depuis l'appréciation médicale du 1 er février 2001 du Dr B.L.________, qui concluait à une capacité de travail entière. Au contraire, il a signalé que l'évolution était relativement favorable, mais très lente. c) S'agissant du syndrome fémoro-patellaire bilatéral, tant le Dr A.L.________ que le Dr S.________ admettent une aggravation de cette atteinte, notamment depuis l'accident du 25 février 2007 ayant provoqué une déchirure du ligament croisé antérieur et du ligament latéral interne, associé à une contusion osseuse et un épanchement intra-articulaire. L'IRM pratiquée le 7 mars 2007 a également mis en évidence une méniscopathie grade II du ménisque interne. Les médecins précités ont dès lors exclu la reprise de l'activité habituelle de manœuvre dans la construction. Le Dr S.________ a retenu que le recourant était en mesure d'exercer une activité adaptée respectant les limitations fonctionnelles décrites. Le Dr A.L.________ ne s'est pas prononcé sur ce point, se limitant à mentionner que tout reclassement professionnel était illusoire, sans donner de plus amples explications. d) Au vu des éléments précités, il y a lieu de retenir que par rapport aux circonstances qui ont justifié le refus d'octroi d'une rente d'invalidité par jugement du 29 mars 2006, la situation du recourant ne s'est pas modifiée, à tout le moins que son état de santé n'a pas subi de détérioration significative ayant une incidence sur son droit à la rente dans le sens d'une augmentation. Le Dr S.________ a en effet exposé de manière convaincante les motifs pour lesquels d'une part, l’assuré n'était désormais plus en mesure de reprendre son activité de manœuvre dans la construction et d'autre part, une pleine capacité de travail dans une activité adaptée à son état de santé devait toutefois lui être reconnue. Par conséquent, l'appréciation de l'atteinte à la santé sur le plan médical a été clairement définie par le Dr S.________ dont le rapport du 27 janvier 2009, fondé notamment sur l'ensemble des examens d'imagerie et cliniques effectués par les praticiens consultés par l'assuré et par l'expert du SMR, remplit à l'évidence les réquisits jurisprudentiels pour que lui soit reconnue une pleine valeur probante. L’intimé s’est dès lors fondé à juste titre sur ces constatations pour statuer sur le droit aux prestations. Le dossier permettant ainsi de juger la cause en l'état, il ne se justifie pas d'ordonner la mise en œuvre d'une expertise rhumatologique. e) Au regard de la capacité résiduelle de travail du recourant dans une activité adaptée, l’intimé a considéré qu’il présentait un taux d’invalidité nettement inférieur à 20 %, ne justifiant pas l’octroi de mesures de reclassement dans une nouvelle profession. L'évaluation du degré d’invalidité auquel a procédé l’intimé (moins de 7 %) se fonde à juste titre sur une approche théorique, dès lors que l’intéressé n’a plus repris d’activité professionnelle depuis plus de 10 ans. Vérifié d’office, le calcul du taux d’invalidité que l'Office AI a effectué dans le cadre de la décision attaquée ne prête pas flanc à la critique. Il n’y a pas lieu de revenir plus en détail sur ce calcul, dans la mesure où le recourant se limite à contester la capacité résiduelle de travail constatée par l’intimé, sans soulever de grief relatif aux taux d’invalidité inférieur à 20 % finalement retenu. 6. Le recourant estime enfin qu'il n'est pas en mesure de reprendre une activité professionnelle sur un marché du travail équilibré.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b) In casu, il y a lieu de rappeler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du recourant. A titre d'exemples, on peut citer les activités de surveillant de machines, gardien de parking ou ouvrier d'usine (TF 9C_695/2010 du 15 mars 2011 consid. 6.3).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7. a) Au vu de ce qui précède, il s'avère que le recourant présente une capacité de travail entière dans le cadre d'une activité adaptée respectant les limitations fonctionnelles retenues par le SMR, de sorte qu'il n'existe aucun motif justifiant de procéder à une révision de la décision statuant sur le droit à la rente. Dès lors, mal fondé, le recours doit être rejeté et la décision attaquée confirmée, sans qu'il y ait lieu de procéder aux mesures d'instruction complémentaire requises par le recourant.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450 fr. et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