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259/10 - 149/2012 vom 29. Mai 2012</w:t>
      </w:r>
    </w:p>
    <w:p>
      <w:r>
        <w:t>VD Tribunal cantonal, 2012-05-29, FR</w:t>
      </w:r>
    </w:p>
    <w:p>
      <w:r>
        <w:rPr>
          <w:b/>
        </w:rPr>
        <w:t xml:space="preserve">Quelle: </w:t>
      </w:r>
      <w:r>
        <w:t>https://mcp.opencaselaw.ch/entscheid/vd_findinfo_AI_259_10_-_149_2012</w:t>
      </w:r>
    </w:p>
    <w:p>
      <w:r>
        <w:t>FR: VD_FINDINFO AI 259/10 - 149/2012 du 29 mai 2012</w:t>
      </w:r>
    </w:p>
    <w:p>
      <w:r>
        <w:t>IT: VD_FINDINFO AI 259/10 - 149/2012 del 29 maggio 2012</w:t>
      </w:r>
    </w:p>
    <w:p>
      <w:pPr>
        <w:pStyle w:val="Heading2"/>
      </w:pPr>
      <w:r>
        <w:t>Regeste</w:t>
      </w:r>
    </w:p>
    <w:p>
      <w:r>
        <w:t>LOI FÉDÉRALE SUR L'ASSURANCE-INVALIDITÉ, AI{ASSURANCE}, ÉVALUATION DE L'INVALIDITÉ, ÉVALUATION MÉDICO-THÉORIQUE, OPÉRATION D'UNE HERNIE DISCALE | 28 LAI, 4 LAI</w:t>
      </w:r>
    </w:p>
    <w:p>
      <w:pPr>
        <w:pStyle w:val="Heading2"/>
      </w:pPr>
      <w:r>
        <w:t>Erwägungen</w:t>
      </w:r>
    </w:p>
    <w:p>
      <w:r>
        <w:rPr>
          <w:b/>
        </w:rPr>
        <w:t>E. 4</w:t>
      </w:r>
    </w:p>
    <w:p>
      <w:r>
        <w:t>a) Dès lors, au regard de la jurisprudence exposée ci-dessus, les critiques développées par le recourant à l'appui de son recours ne permettent pas d'établir une violation du droit fédéral.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450 fr. et devrait être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ni indemnité d'office, le mandataire désigné ayant implicitement renoncé à en solliciter le versement (courrier du 2 mai 2012 de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