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253/20 - 407/2021 vom 25. November 2021</w:t>
      </w:r>
    </w:p>
    <w:p>
      <w:r>
        <w:t>VD Tribunal cantonal, 2021-11-25, FR</w:t>
      </w:r>
    </w:p>
    <w:p>
      <w:r>
        <w:rPr>
          <w:b/>
        </w:rPr>
        <w:t xml:space="preserve">Quelle: </w:t>
      </w:r>
      <w:r>
        <w:t>https://mcp.opencaselaw.ch/entscheid/vd_findinfo_AI_253_20_-_407_2021</w:t>
      </w:r>
    </w:p>
    <w:p>
      <w:r>
        <w:t>FR: VD_FINDINFO AI 253/20 - 407/2021 du 25 novembre 2021</w:t>
      </w:r>
    </w:p>
    <w:p>
      <w:r>
        <w:t>IT: VD_FINDINFO AI 253/20 - 407/2021 del 25 novembre 2021</w:t>
      </w:r>
    </w:p>
    <w:p>
      <w:pPr>
        <w:pStyle w:val="Heading2"/>
      </w:pPr>
      <w:r>
        <w:t>Regeste</w:t>
      </w:r>
    </w:p>
    <w:p>
      <w:r>
        <w:t>QUART DE RENTE, RENTE D'INVALIDITÉ, AGGRAVATION DE L'ATTEINTE À LA SANTÉ, ÂGE, REVENU D'INVALIDE, ÉVALUATION DE L'INVALIDITÉ, REJET DE LA DEMANDE, AFFECTION DU GENOU, AFFECTION DORSALE, CANCER DE LA PROSTATE, DÉPRESSION | 28 LAI, 16 LPGA, 17 al. 1 LPGA, 6 LPGA, 7 LPGA, 8 LPGA, 88a al. 2 RAI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compte tenu des féries estivales (art. 93 let. a et 96 al. 1 let. b LPA-VD [loi cantonale vaudoise du 28 octobre 2008 sur la procédure administrative ; BLV 173.36]) et respectant les autres conditions formelles prévues par la loi (art. 61 let. b LPGA notamment), le recours est recevable.</w:t>
      </w:r>
    </w:p>
    <w:p>
      <w:r>
        <w:rPr>
          <w:b/>
        </w:rPr>
        <w:t>E. 2</w:t>
      </w:r>
    </w:p>
    <w:p>
      <w:r>
        <w:t>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b) Le présent litige porte sur l’étendue du droit du recourant à une rente d’invalidité, fonction de son degré d’invalidité, dès le 1 er janvier 2017. Singulièrement, sont litigieux l’instruction de l’intimé s’agissant de l’état de santé psychique et son impact sur la capacité de travail résiduelle du recourant, ainsi que le taux d’abattement retenu sur le revenu d’invalide.</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applicable dans sa version en vigueur jusqu’au 31 décembre 2020, conformément à l’art. 83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d)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w:t>
      </w:r>
    </w:p>
    <w:p>
      <w:r>
        <w:rPr>
          <w:b/>
        </w:rPr>
        <w:t>E. 4</w:t>
      </w:r>
    </w:p>
    <w:p>
      <w:r>
        <w:t>a) En l’espèce, l’incapacité totale de travail du recourant dans son activité habituelle depuis le 14 janvier 2016, date de son opération du genou droit, est établie médicalement et n’est pas contestée. La date d’ouverture du droit à la rente, soit le 1 er janvier 2017 peut être confirmée (consid. 3b supra ). L’aggravation de l’état de santé du recourant due à la découverte d’un adénocarcinome prostatique et à son traitement subséquent a été dûment prise en compte. Comme l’a constaté l’intimé, la durée de cette incapacité de travail n’a pas excédé trois mois, ce que le recourant ne critique pas. Il n’y avait donc pas lieu d’augmenter la rente d’invalidité en raison de cette aggravation (art. 88a al. 2 RAI et consid. 3c supra ). b) S’agissant de sa capacité de travail dans une activité adaptée, le recourant ne forme pas de grief à l’égard de l’appréciation médicale de son cas par l’intimé et par le SMR, relative à ses atteintes physiques. Il argue en revanche que le volet psychiatrique de ses atteintes aurait dû faire l’objet d’une instruction approfondie par l’OAI. Selon le recourant, le dossier contient des pièces qui démontreraient son état psychologiquement fragile depuis une période antérieure à la décision entreprise. Il produit un rapport du Centre T.________ établi le 19 août 2020 et signé par les Dres C.________ et J.________, spécialistes en psychiatrie et psychothérapie, ainsi que par Mme K.________, psychologue et psychothérapeute. On peut lire dans ce rapport que le recourant a consulté le Centre T.________ du 5 octobre 2017 au 28 mai 2018, à la suite de l’annonce de son licenciement. Il a ensuite repris un suivi dès le 25 juin 2020, dans un contexte lié à des difficultés socio-économiques, qui représentaient une préoccupation majeure pour lui, semblant avoir un impact négatif sur son anxiété, sa thymie et son sommeil. Le diagnostic posé est celui de réactions à un facteur de stress important et troubles de l’adaptation, réaction mixte, anxieuse et dépressive (F43.22). Les médecins constataient différents symptômes, dont une tristesse profonde, des pensées anxieuses, ainsi que des idées suicidaires scénarisées. Le recourant présentait une incapacité totale de travail, pour tout type d’activité. Concernant l’arrêt de travail, les signataires du rapport recommandaient de se référer au surplus au Dr G.________. Ce dernier a rédigé un rapport le 10 août 2020, duquel il ressort qu’à la suite de l’annonce de son licenciement, le recourant avait développé un était dépressif motivant un suivi psychiatrique, ainsi qu’une incapacité de travail jusqu’au 31 décembre 2017. Le recourant avait à nouveau développé une symptomatologie dépressive en juin 2020. Le Dr G.________ avait prescrit un arrêt de travail à 100 % depuis le 1 er août 2020. L’atteinte à la santé psychique du recourant n’est pas niée et il ne s’agit en aucun cas de la minimiser. Le dossier révèle d’ailleurs que des intervenants de l’OAI et du SMR ont été particulièrement inquiets face à certains propos tenus par le recourant lors de plusieurs échanges en 2020 et l’ont encouragé à consulter un médecin psychiatre. Cela étant, un seul rapport médical au dossier mentionne clairement une atteinte psychique du recourant, antérieurement à la décision entreprise (cf. rapport du Dr G.________ du 8 avril 2020). Pour autant, l’on ne saurait reprocher un défaut d’instruction de la part de l’intimé sur ce point. En effet, les médecins du recourant avaient jusqu’alors rapporté uniquement certaines atteintes somatiques comme ayant un impact sur sa capacité de travail. Le recourant en avait fait de même. Ce dernier écrivait d’ailleurs dans un courriel à l’attention de l’OAI le 6 octobre 2017 qu’il était en arrêt de travail pour cause de maladie durant deux semaines, en raison d’« une sciatique » et non en raison de problèmes psychiques. Dans son rapport du 8 avril 2020, le Dr G.________ a rapporté une symptomatologie dépressive du recourant de septembre à décembre 2017. Le médecin indiquait qu’il avait prescrit un arrêt de travail complet du 1 er octobre au 31 décembre 2017, sans toutefois que le motif de cet arrêt ne soit précisé. Même si l’atteinte psychique du recourant avait impacté sa capacité de travail durant cette période, cette éventuelle dégradation à la fin de l’année 2017, dont on pourrait douter qu’elle ait été suffisamment étayée sur le plan médical, n’aurait pas été suffisamment longue pour entrainer une augmentation de la rente, puisqu’elle n’a pas dépassé trois mois (art. 88a al. 2 RAI et consid. 3c supra ). Quoi qu’il en soit, le recourant ne conclut en réalité à l’octroi d’une rente entière, en raison de son atteinte psychique telle qu’attestée dans les derniers rapports médicaux qu’il a produits, qu’à compter du 1 er août 2020. L’aggravation éventuelle de son état de santé psychique, après la reddition de la décision attaquée, sort de l’objet du présent litige et devra faire, le cas échéant, l’objet d’une nouvelle décision administrative (consid. 3d supra ). Il est d’ailleurs à relever que l’intimé a d’ores et déjà indiqué qu’il procéderait à une révision à la lumière de ces nouveaux éléments (cf. réponse du 10 novembre 2020). Le grief du recourant tombe donc à faux.</w:t>
      </w:r>
    </w:p>
    <w:p>
      <w:r>
        <w:rPr>
          <w:b/>
        </w:rPr>
        <w:t>E. 5</w:t>
      </w:r>
    </w:p>
    <w:p>
      <w:r>
        <w:t>Dans un second moyen, le recourant fait valoir que son âge, ses limitations fonctionnelles, ses chances réduites de se réinsérer professionnellement et le fait qu’il ait voué une partie de sa vie au moulin [...] devaient conduire à retenir un taux d’abattement de 10 % au moins sur le revenu d’invalidité. Cela aboutirait à un degré d’invalidité de 50,42 % et ouvrirait le droit à une demi-rente d’invalidité dès le mois de janvier 2017. a) Pour déterminer le revenu avec invalidité (consid. 3b supra ),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TF 8C_80/2013 du 17 janvier 2014 consid. 4.2 ; 9C_751/2011 du 30 avril 2012 consid. 4.2.1 ; 8C_227/2017 du 17 mai 2018 consid. 3.1). Le pouvoir d'examen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 il doit s'appuyer sur des circonstances de nature à faire apparaître sa propre appréciation comme la mieux appropriée (ATF 126 V 75 consid. 6 ; 8C_227/2017 du 17 mai 2018 consid. 3.3). b) En l’occurrence, le recourant se fourvoie en ce qu’il prétend qu’il n’y a pas eu d’abattement dans le calcul de l’intimé. En réalité, ses années de service, auprès du même employeur, ont bel et bien été prises en compte dans le calcul de l’intimé, puisqu’il a appliqué un taux d’abattement de 5 % à ce titre, ce qui ne prête pas le flanc à la critique. S’agissant des limitations fonctionnelles, elles ont été suffisamment prises en compte dans la détermination de la capacité de travail du recourant dans une activité adaptée. En effet, le SMR, puis l’OAI, ont retenu une capacité de travail dans une activité compatible avec les différentes limitations fonctionnelles, de 70 %, alors que les médecins consultés par le recourant retenaient un taux d’activité plus élevé (cf. certificats du Dr Z.________ du 24 janvier 2017 : 100 %, du Dr G.________ du 8 avril 2020 : 80 %). Ce faisant, l’intimé a tenu compte de la diminution de rendement du recourant de manière appropriée. Pour ce qui est du facteur de l’âge, celui-ci ne justifie en général pas d’abattement sur le salaire statistique. Le recourant était âgé de 57 ans au moment de l’ouverture du droit à la rente, et de 60 ans au moment de l’exigibilité médicale, respectivement de la reddition de la décision (le moment déterminant pour la prise en compte de l’abattement en raison de l’âge demeurant une question ouverte pour le Tribunal fédéral, cf. ATF 146 V 16 consid. 7.1 et TF 8C_433/2020 du 15 octobre 2020 consid. 8.2.3). Pour autant, les circonstances du cas d’espèce et en particulier la capacité de travail résiduelle du recourant ainsi que ses limitations fonctionnelles ne permettent pas de rendre hautement vraisemblable qu’il n’atteindrait pas le revenu moyen des travailleurs du secteur retenu in casu . Partant, le taux d’abattement retenu par l’intimé peut être confirmé. Au demeurant, contrairement à ce que prétend le recourant, l’application d’un taux d’abattement de 10 % n’ouvrirait pas le droit à une demi-rente. Le revenu sans invalidité, non contesté, s’élève à 82’040 fr. 29 selon l’OAI, ce que l’on peut légèrement corriger s’agissant de l’indexation à l’année 2017 (+0,4 % et non +0,7 % par rapport à 2016). Le revenu sans invalidité se monte ainsi à 81'795 fr. 88. Le revenu exigible avec invalidité doit également être légèrement modifié, en ce sens que le salaire auquel pouvaient prétendre les hommes en 2016 pour des tâches manuelles simples dans les domaines des services et de la production était de 5'340 fr. selon l’ESS 2016, et non de 5'357 fr. comme retenu par l’OAI (cf. calcul REA du 21 septembre 2018 notamment), si bien que le revenu d’invalide du recourant doit être fixé à 26'828 fr. 25, après indexation, adaptation à l’horaire hebdomadaire moyen et à la diminution de rendement de 30 %, mais avant abattement. Avec un taux d’abattement de 5 %, le degré d’invalidité s’élève à 45,47 %, alors qu’avec un taux d’abattement de 10 %, l’on obtient 48,34 %. Ces modifications n’ont toutefois pas d’influence sur le droit à la rente du recourant, puisque ce degré demeure inférieur à 50 %. c) Le recourant fait valoir, en substance et au sein de son grief sur l’abattement, son incapacité alléguée à mettre en valeur sa capacité de travail résiduelle, en raison de son âge et de son éloignement du marché du travail. aa)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 TF 9C_188/2019 du 10 septembre 2019 consid. 7.2 ; TF 9C_899/2015 du 4 mars 2016 consid. 4.3.1). bb)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138 V 457 consid. 3.3 ; TF 9C_188/2019 précité consid. 7.2). cc) En l’occurrence, plusieurs années séparaient encore le recourant de la retraite au moment de l’exigibilité médicale. L’on relève qu’il a effectué un stage comme animateur en EMS et a été engagé à différents postes par son ancien employeur (pépinière puis magasin), ainsi que pour un contrat à durée déterminée comme cariste, durant la procédure administrative, ce qui tend à démontrer sa capacité d’adaptation professionnelle et le fait qu’il était susceptible de retrouver un emploi. En sus, les activités adaptées envisagées relèvent d’emplois non qualifiés, de sorte que l’âge du recourant est d’autant moins pénalisant. Comme l’a relevé l’intimé, le recourant pouvait, compte tenu des circonstances, mettre sa capacité de travail résiduelle en valeur dans un travail simple et répétitif dans le domaine industriel léger, par exemple dans le montage, le contrôle ou la surveillance d’un processus de production ou comme cariste. Il va de soi que ces aspects liés à l’âge du recourant devront le cas échéant être réexaminés par l’intimé lors de la révision qu’il a déjà annoncée. C’est par conséquent à juste titre que l’OAI a octroyé un quart de rente au recourant pour la période concernée.</w:t>
      </w:r>
    </w:p>
    <w:p>
      <w:r>
        <w:rPr>
          <w:b/>
        </w:rPr>
        <w:t>E. 6</w:t>
      </w:r>
    </w:p>
    <w:p>
      <w:r>
        <w:t>a) En définitive, le recours doit être rejeté et la décision attaquée confirmée dans son dispositif. b) En dérogation à l’art. 61 let. a LPGA (applicable dans sa teneur au 31 décembre 2020 en vertu de l’art 83 LPGA), la procédure de recours en matière de contestations portant sur l’octroi ou le refus de prestations de l’assurance-invalidité devant le tribunal cantonal des assurances est soumise à des frais de justice (art. 69 al. 1bis LAI). En l’espèce, les frais judiciaires, arrêtés à 400 fr. compte tenu de l’ampleur de la procédure, sont imputés au recourant, qui succombe (art. 49 al. 1 LPA-VD, applicable par renvoi des art. 91 et 99 LPA-VD). c) Il n’y a par ailleurs pas lieu d’allouer de dépens, le recourant n’obtenant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