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234/13 - 190/2014 vom 26. Juni 2014</w:t>
      </w:r>
    </w:p>
    <w:p>
      <w:r>
        <w:t>VD Tribunal cantonal, 2014-06-26, FR</w:t>
      </w:r>
    </w:p>
    <w:p>
      <w:r>
        <w:rPr>
          <w:b/>
        </w:rPr>
        <w:t xml:space="preserve">Quelle: </w:t>
      </w:r>
      <w:r>
        <w:t>https://mcp.opencaselaw.ch/entscheid/vd_findinfo_AI_234_13_-_190_2014</w:t>
      </w:r>
    </w:p>
    <w:p>
      <w:r>
        <w:t>FR: VD_FINDINFO AI 234/13 - 190/2014 du 26 juin 2014</w:t>
      </w:r>
    </w:p>
    <w:p>
      <w:r>
        <w:t>IT: VD_FINDINFO AI 234/13 - 190/2014 del 26 giugno 2014</w:t>
      </w:r>
    </w:p>
    <w:p>
      <w:pPr>
        <w:pStyle w:val="Heading2"/>
      </w:pPr>
      <w:r>
        <w:t>Regeste</w:t>
      </w:r>
    </w:p>
    <w:p>
      <w:r>
        <w:t>PROGNATHIE, TRAITEMENT DENTAIRE, INFIRMITÉ CONGÉNITALE, AI{ASSURANCE}, PRESTATION D'ASSURANCE{AI} | 13 LAI, 3 al. 2 LPGA, 1 OIC, 2 OIC</w:t>
      </w:r>
    </w:p>
    <w:p>
      <w:pPr>
        <w:pStyle w:val="Heading2"/>
      </w:pPr>
      <w:r>
        <w:t>Erwägungen</w:t>
      </w:r>
    </w:p>
    <w:p>
      <w:r>
        <w:rPr>
          <w:b/>
        </w:rPr>
        <w:t>E. 4</w:t>
      </w:r>
    </w:p>
    <w:p>
      <w:r>
        <w:t>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