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229/12 - 307/2013 vom 13. Dezember 2013</w:t>
      </w:r>
    </w:p>
    <w:p>
      <w:r>
        <w:t>VD Tribunal cantonal, 2013-12-13, FR</w:t>
      </w:r>
    </w:p>
    <w:p>
      <w:r>
        <w:rPr>
          <w:b/>
        </w:rPr>
        <w:t xml:space="preserve">Quelle: </w:t>
      </w:r>
      <w:r>
        <w:t>https://mcp.opencaselaw.ch/entscheid/vd_findinfo_AI_229_12_-_307_2013</w:t>
      </w:r>
    </w:p>
    <w:p>
      <w:r>
        <w:t>FR: VD_FINDINFO AI 229/12 - 307/2013 du 13 décembre 2013</w:t>
      </w:r>
    </w:p>
    <w:p>
      <w:r>
        <w:t>IT: VD_FINDINFO AI 229/12 - 307/2013 del 13 dicembre 2013</w:t>
      </w:r>
    </w:p>
    <w:p>
      <w:pPr>
        <w:pStyle w:val="Heading2"/>
      </w:pPr>
      <w:r>
        <w:t>Regeste</w:t>
      </w:r>
    </w:p>
    <w:p>
      <w:r>
        <w:t>RÉVISION{PRESTATION D'ASSURANCE}, RENTE D'INVALIDITÉ, RÉTROACTIVITÉ, SUPPRESSION DE LA PRESTATION D'ASSURANCE, ÉVALUATION DE L'INCAPACITÉ DE TRAVAIL, AFFECTION PSYCHIQUE, FACTEUR ÉTRANGER À L'INVALIDITÉ, NOTIFICATION IRRÉGULIÈRE, PRESTATION D'ASSURANCE{AI} | 28 LAI, 4 al. 1 LAI, 17 LPGA, 6 LPGA, 7 al. 1 LPGA, 8 al. 1 LPGA, 88a al. 1 RAI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définitive, le recours, entièrement mal fondé, doit être rejeté, ce qui entraîne la confirmation de la décision entreprise. b) En dérogation à l'art. 61 let. a LPGA, la procédure de recours en matière de contestations portant sur l'octroi ou le refus de prestations de l'AI devant le tribunal cantonal des assurances est soumise à des frais de justice; le montant des frais est fixé en fonction de la charge liée à la procédure, indépendamment de la valeur litigieuse, et doit se situer entre 200 et 1'000 fr. (art. 69 al. 1 bis LAI). En l'espèce, compte tenu de l'ampleur de la procédure, les frais de justice doivent être arrêtés à 400 fr. et être mis à la charge de la recourante qui succombe (art. 69 al. 1 bis LAI; art. 49 al. 1 LPA-VD). Il n'y a pas lieu d'allouer de dépens, la recourante n'obtenant pas gain de cause (art. 61 let. g LPGA; 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