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227/10 - 369/2012 vom 1. November 2012</w:t>
      </w:r>
    </w:p>
    <w:p>
      <w:r>
        <w:t>VD Tribunal cantonal, 2012-11-01, FR</w:t>
      </w:r>
    </w:p>
    <w:p>
      <w:r>
        <w:rPr>
          <w:b/>
        </w:rPr>
        <w:t xml:space="preserve">Quelle: </w:t>
      </w:r>
      <w:r>
        <w:t>https://mcp.opencaselaw.ch/entscheid/vd_findinfo_AI_227_10_-_369_2012</w:t>
      </w:r>
    </w:p>
    <w:p>
      <w:r>
        <w:t>FR: VD_FINDINFO AI 227/10 - 369/2012 du 1 novembre 2012</w:t>
      </w:r>
    </w:p>
    <w:p>
      <w:r>
        <w:t>IT: VD_FINDINFO AI 227/10 - 369/2012 del 1 novembre 2012</w:t>
      </w:r>
    </w:p>
    <w:p>
      <w:pPr>
        <w:pStyle w:val="Heading2"/>
      </w:pPr>
      <w:r>
        <w:t>Regeste</w:t>
      </w:r>
    </w:p>
    <w:p>
      <w:r>
        <w:t>APPRÉCIATION ANTICIPÉE DES PREUVES, ÉVALUATION DE L'INCAPACITÉ DE TRAVAIL, DEGRÉ DE L'INVALIDITÉ, FORCE PROBANTE, REFUS DE LA PRESTATION D'ASSURANCE | 28 al. 2 LAI, 4 al. 1 LAI, 6 LPGA, 7 al. 1 LPGA, 8 al. 1 LPGA</w:t>
      </w:r>
    </w:p>
    <w:p>
      <w:pPr>
        <w:pStyle w:val="Heading2"/>
      </w:pPr>
      <w:r>
        <w:t>Erwägungen</w:t>
      </w:r>
    </w:p>
    <w:p>
      <w:r>
        <w:rPr>
          <w:b/>
        </w:rPr>
        <w:t>E. 8</w:t>
      </w:r>
    </w:p>
    <w:p>
      <w:r>
        <w:t>avril 2009, la Dresse Z.________ a établi un nouveau rapport posant les diagnostics de trouble dépressif récurrent, épisode actuel sévère avec syndrome psychotique, de syndrome douloureux somatoforme persistant et de modification durable de la personnalité après une expérience de catastrophe. Elle indiquait que ce dernier diagnostic était un nouvel élément révélé en 2007. Dans l’anamnèse, il était fait état de torture physique et psychique que l’assuré aurait subie au Kosovo lors d’un emprisonnement alors qu’il avait 16 ans. Ce médecin y mentionnait également un accident de travail. Un examen clinique orthopédique a été organisé au SMR puisque l’expertise réalisée au CEM ne précisait pas le taux d’incapacité de travail de l’assuré sur le plan somatique. Cet examen a été effectué par le Dr V.________, spécialiste en chirurgie orthopédique, dont le rapport date du 13 juillet 2009. Ce médecin a posé comme diagnostic ayant une influence sur la capacité de travail des lombo-sciatalgies bilatérales, une claudication neurogène sur canal lombaire étroit constitutionnel et des discopathies L4 et L5-S1 avec protrusion discale. Le Dr V.________ a conclu son rapport comme suit : "Assuré de 33 ans, sans formation professionnelle lucrative ayant développé des lombo-sciatalgies bilatérales après une chute survenue le 13 septembre 2003. Les divers examens radiologiques ont mis en évidence un canal lombaire constitutionnel prédominant en L4-L5 avec des discopathies L4-L5 et L5-S1. La première IRM effectuée en novembre 2003 parle d’une hernie discale L5-S1 médiane et une hernie discale circonférentielle L4-L5. Il ne s’agit pas d’image de hernie discale, mais de protrusion discale à deux étages. Le premier neurologue consulté le Dr G.________ en janvier 2004 est très réticent quant à l’indication chirurgicale, d’une cure chirurgicale de canal lombaire étroit. Le Dr T.________, neurologue consulté en février 2005, considère que l’assuré a une claudication intermittente neurogène et I’EMG montre des signes objectifs d’atteinte. Il considère qu’il y a une indication opératoire. Les deux neurochirurgiens consultés, le Dr H.________ de l’hôpital de Sion en 2004 et le Dr A.________ en mars 2005, considèrent que les chances au succès d’une intervention neurochirurgicale sont minces. Lors de mon examen clinique, on ne met pas en évidence de trouble neurologique majeur, 3 des 5 signes de non organicité selon Waddell sont positifs. L’assuré ne consomme aucun antalgique, ni anti-inflammatoire. Les limitations fonctionnelles L’assuré peut exercer un travail sédentaire ou semi-sédentaire sans port de charges dans lequel il puisse alterner à sa guise la position debout avec la position assise. Depuis quand y a-t-il une incapacité de travail de 20% au moins? Arrêt de travail à 100% depuis le 12.09.2003. Comment le degré d’incapacité de travail a-t-il évolué depuis lors? L’assuré n’a pas repris d’activité professionnelle. Concernant la capacité de travail exigible Sur le plan somatique : la capacité de travail de cet assuré en tant qu’ouvrier de la construction est nulle. Dans un travail adapté aux limitations fonctionnelles, nous considérons que la capacité de travail n’est pas complète. Une diminution de rendement de l’ordre de 20% est admissible en raison des douleurs et de la nécessité de faire des pauses. A noter que le Dr W.________, spécialiste FMH en médecine physique réhabilitation et rhumatologie de la Clinique Romande de Réadaptation de [...] dans son rapport à l’Al de juillet 2005, considère que la capacité de travail de l’assuré est proche de 100 % dans un travail adapté. CAPACITÉ DE TRAVAIL EXIGIBLE DANS L’ACTIVITÉ HABITUELLE : 0% DANS UNE ACTIVITÉ ADAPTÉE : 80% DEPUIS SEPTEMBRE 2003 ". Dans un avis du 16 novembre 2009, le Dr R.________, médecin auprès du SMR, s’est prononcé sur le rapport de la Dresse Z.________ du 8 avril 2009, estimant que rien dans l’anamnèse de l’assuré ne permettait de penser qu’il avait été exposé à des facteurs de stress justifiant une modification durable de la personnalité après une expérience de catastrophe. Il relevait que l’expert du CEM avait indiqué que l’assuré ne témoignait pas directement des évènements de la guerre, mais les apprenait par téléphone de tiers ou les apprenait par la télévision. Le Dr R.________ constatait aussi que la Dresse Z.________ parle de « traumatismes vécus » sans préciser la nature de ceux-ci. Par décision du 12 mai 2010, l’OAI a rejeté la demande de prestations. C. Par acte du 14 juin 2010, N.________, par l'intermédiaire de son ancien conseil, a recouru contre cette décision en concluant, sous suite de dépens, principalement, à son annulation et au renvoi pour nouvelle instruction, subsidiairement, à l’octroi d’une rente fixée à dire de justice. Par réponse du 25 octobre 2010, l’intimé a conclu au rejet du recours. D. Le 31 mai 2011, l’OAI a adressé à la Cour des assurances sociales du Tribunal cantonal deux rapports, l’un émanant de la Dresse Z.________ et l’autre du Dr  K.________, spécialiste en psychiatrie. Le premier avis émanant de la Dresse Z.________, daté du 8 avril 2009, est déjà connu et a été évoqué ci-dessus. Tel n’est en revanche pas le cas du rapport du 28 avril 2011 du Dr K.________. Celui-ci a posé le diagnostic de schizophrénie paranoïde et indiqué qu'elle existait depuis 2004. Il a constaté une désorganisation de la pensée, des idées délirantes de persécution et des hallucinations visuelles. Il a précisé que la capacité de travail était nulle. Le médecin a conclu ainsi son rapport : "Malgré un bon traitement antidépresseur la symptomatologie psychotique persiste sous forme d’hallucinations visuelles et d’idées délirantes de persécution. Le patient est désorganisé dans les activités de la vie quotidienne! Il s’agit très vraisemblablement d’une schizophrénie de type paranoïde". Appelé à se déterminer sur ce certificat, l’OAI, se référant à un avis du SMR du 29 août 2012, a relevé que le diagnostic de schizophrénie paranoïde n’avait jamais été posé avant et que cas échéant, cet élément était postérieur à la décision attaquée. L'intimé a par ailleurs confirmé sa position.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b) Interjeté dans le délai légal de trente jours dès la notification de la décision attaquée, le recours satisfait en outre aux autres conditions légales (art. 61 let. b LPGA), de sorte qu'il est recevable en la forme. 2. Le litige porte sur le droit du recourant à une rente de l'assurance-invalidité, respectivement sur sa capacité de travail.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exigible de sa part peut également relever d'une autre profession ou d'un autre domaine d'activité. b) Selon l'art. 28 al. 2 LAI,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2c ; ATF 105 V 156 consid. 1 ; RCC 1980 p. 263 ; Pratique VSI 2002 p. 64 ; TF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ATF 125 V 351 consid. 3a et les réf. citées ; TF 9C_1023/2008 du 30 juin 2009 consid. 2.1.1 et C-202/2010 du 13 juin 2012 consid. 6.2). Cela étant,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 citées ; VSI 2001 p. 106 consid. 3b/bb et cc ; TF 9C_91/2008 du 30 septembre 2008 ;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 SVR 2008 IV no 15 p. 43). Il n'en va différemment que si ces médecins traitants font état d'éléments objectifs ayant été ignorés dans le cadre de l'expertise et qui sont suffisamment pertinents pour remettre en cause les conclusions de l'expertise (TF 9C_514/2009 du 3 novembre 2009 consid. 4 ; TF 8C_14/2009 du 8 avril 2009 consid. 3). d) La procédure dans le domaine des assurances sociales fait prévaloir la procédure inquisitoriale (art. 43 LPGA). Ainsi, l'autorité définit les faits pertinents et les preuves nécessaires, qu'elle ordonne et apprécie d'office (art. 12 PA [loi fédérale du 20 décembre 1968 sur la procédure administrative ; RS 172.021] ; ATF 110 V 199 consid. 2b, ATF 105 Ib 114 ; Pierre Moor, Droit administratif, vol. II, 3e éd., Berne 2011, ch. 2.2.6.3) ; elle ne tient pour existants que les faits qui sont dûment prouvés, prend d'office les mesures d'instruction nécessaires et recueille les renseignements dont elle a besoin ; enfin elle applique le droit d'office (TAF C-202/2010 du 13 juin 2012, consid. 5). 4. a) En l'espèce, le recourant conteste une capacité de travail totale dans n'importe quelle activité. b) Sur le plan somatique, le Dr G.________ a, le 26 janvier 2004, conclu à un canal spinal lombaire rétréci et à un conflit disco-radiculaire prédominant en L5-S1. Il s’étonnait du manque d’amélioration de l’état de l’assuré après un traitement bien mené. Le 4 avril 2005, le Dr X.________ a diagnostiqué des lombo-sciatalgies chroniques, un canal lombaire étroit constitutionnel de L4-L5, une hernie discale, une protrusion circonférentielle, une compression bi-radiculaire et une claudication intermittente neurogène fortement handicapante. Il a affirmé qu'on ne pouvait exiger de l’assuré qu’il exerce son activité habituelle de maçon ou une autre activité. La CRR a établi en date du 13 avril 2004 les diagnostics de lombalgies basses, de canal lombaire étroit constitutionnel prédominant en L4-L5, de débord discal circonférentiel en L4-L5 et hernie discale para-médiane gauche. Le 7 février 2005, le Dr T.________ fait état d’une compression bi-radiculaire L5. Les experts du CEM ont, dans leur rapport d'expertise du 9 février 2007, exposé que l’assuré souffrait de lombalgies chroniques, de canal spinal étroit, de discopathie L4-L5 et d’une hernie discale L5-S1 para-médiane gauche. Ils ont posé des limitations fonctionnelles excluant l’exercice de l’activité habituelle de maçon. Ils ont décrit les limitations fonctionnelles suivantes : pas de positions statiques prolongées, assise et debout, pas de positions penchées et en porte-à-faux, pas de travail en hauteur et en déséquilibre, pas de mouvements contraignants en flexion et en torsion du tronc, pas de déplacements courbés et pas de travail au sol. Le port de charges de plus de 5 à 7 kg devait être exclu et devait être encore plus limité si les efforts étaient répétitifs. Dans son rapport médical du 13 juillet 2009, le Dr V.________, praticien du SMR, a posé les diagnostics de lombo-sciatalgies bilatérales, de claudication neurogène sur canal lombaire étroit et de discopathies. Il admet la possibilité pour le recourant d’exercer une activité semi-sédentaire ou sédentaire sans port de charges avec alternance des positions. Il retient une capacité de travail exigible à 100% dans une activité adaptée avec une diminution de rendement de 20 %. Ainsi, l'autorité de céans relève que les médecins somaticiens admettent en substance les mêmes diagnostics et des limitations fonctionnelles similaires. Les experts du CEM envisagent les mêmes limitations fonctionnelles que le SMR, sans toutefois se prononcer sur la capacité de travail de l'assuré sur le plan somatique. En effet, selon eux, c’est principalement en raison des problèmes psychiques du recourant que sa capacité de travail est nulle. En définitive, seul le Dr X.________ s'est prononcé sur la capacité de travail exigible en sus du SMR. Cet avis sera toutefois examiné avec réserve dans la mesure où il s'agit du médecin traitant du recourant, que son dernier rapport est daté de 2006 et qu'il ne s'est plus exprimé sur la capacité de travail exigible depuis lors. Force est donc de constater que l'avis du Dr V.________, médecin au SMR, affirmant que l'assuré dispose d'une capacité de travail totale avec diminution de rendement de 20 % dans une activité adaptée sur le plan somatique, suivi par l'intimé, ne saurait être écarté. c) Sur le plan psychique, le Dr L.________ a, le 23 février 2004, posé le diagnostic de trouble de l’adaptation avec humeur dépressive. Il a indiqué que le suivi serait difficile avec un homme fermé, communiquant difficilement et adoptant une position faite de forte passivité. Le 4 avril 2005, le Dr X.________ a diagnostiqué un état anxio-dépressif. Le 1 er mars 2005, le Dr A.________ a relevé que le recourant était fragile sur le plan psycho-affectif. Quant à la Dresse Z.________, elle fait état, le 4 novembre 2005, de trouble dépressif récurrent et a estimé que l’incapacité de travail était totale. Le</w:t>
      </w:r>
    </w:p>
    <w:p>
      <w:r>
        <w:rPr>
          <w:b/>
        </w:rPr>
        <w:t>E. 9</w:t>
      </w:r>
    </w:p>
    <w:p>
      <w:r>
        <w:t>février 2007, l’expert psychiatre du CEM a posé le diagnostic de trouble dépressif récurrent, épisode actuel moyen et de réaction à un facteur de stress sans précision. Il n'a pas établi de pronostic, admettant toutefois une incapacité de travail totale. Cependant, les experts paraissent considérer que ce sont surtout le niveau de formation, la capacité d’apprendre et la motivation qui limitent la capacité de travail du recourant. Le Dr S.________, dans son examen psychiatrique du 5 décembre 2007, a diagnostiqué un trouble de l’adaptation avec prédominance de la perturbation d’autres émotions. Il a relevé le comportement de l'assuré durant l’examen (attitude oppositionnelle notamment), ce qui n’est pas sans rappeler les constatations du Dr L.________ exposées ci-dessus. Le Dr S.________ a encore expliqué qu'il ne pouvait retenir le diagnostic de trouble dépressif récurrent retenu par l'expert du CEM car l'intensité du tableau ne correspondait pas à celle de ce trouble, l'assuré déclarant qu'il allait bien le jour de l'examen et semblait surtout inquiet de son devenir sur un plan socio-économique et familial. Il a ajouté que l'élément de récurrence n'était pas retrouvé à l'anamnèse et n'avait au surplus pas été avancé par le praticien du CEM. Le Dr J.________ avait par ailleurs déjà retenu, dans son rapport du 10 avril 2007, que l'évaluation psychiatrique du recourant ne réunissait pas les critères d'un trouble dépressif récurrent. Dans un rapport médical du 8 avril 2009, la Dresse Z.________ a posé les diagnostics de trouble dépressif récurrent, épisode actuel sévère avec syndrome psychotique, de syndrome douloureux somatoforme persistant et de modification durable de la personnalité après une expérience de catastrophe. Il sied de préciser que ce dernier diagnostic est nouveau. De plus, dans l’anamnèse, il est fait état de torture que le recourant aurait subie dans son pays natal lorsqu'il était jeune. Or, cet élément ne se retrouve dans aucun des rapports précédents. Finalement, le Dr K.________, dans un rapport du 28 avril 2011, a diagnostiqué une schizophrénie paranoïde existante depuis 2004. L'autorité de céans relève toutefois que le psychiatre ne suit le recourant que depuis juillet 2010, que la décision querellée est datée de mai 2010 et que c'est le premier spécialiste à poser un tel diagnostic. Sur le vu de ce qui précède, l’avis du Dr S.________ qui a exposé pour quelles raisons il s’écartait du rapport d’expertise de la CEM a pleine valeur probante, son rapport étant complet et motivé. Quant aux avis des autres médecins, d'une part, la Dresse Z.________ est la seule à avoir posé le diagnostic de modification durable de la personnalité après une expérience de catastrophe et d'autre part, le Dr K.________ a été consulté après que la décision litigieuse a été rendue. Enfin, il paraît évident que des facteurs psychosociaux sont un frein conséquent à la reprise d’une activité professionnelle pour le recourant, mais il ne peut en être tenu compte dans le cadre d'une telle procédure, dans la mesure où cela n'est pas du ressort de l'assurance-invalidité. d) Le dossier étant complet, permettant ainsi à la cour de céans de statuer en pleine connaissance de cause, il n'y a pas lieu d'ordonner une instruction complémentaire, telle que requise par le recourant.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 une telle manière de procéder ne viole pas le droit d'être entendu (ATF 124 V 90 consid. 4b et 122 V 157 consid. 1d ; TF 8C_764/2009 du 12 octobre 2009, consid. 3.2 et les références citées). 5. a) Au vu de ce qui précède,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Le présent arrêt est rendu sans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