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218/10 - 55/2012 vom 13. Februar 2012</w:t>
      </w:r>
    </w:p>
    <w:p>
      <w:r>
        <w:t>VD Tribunal cantonal, 2012-02-13, FR</w:t>
      </w:r>
    </w:p>
    <w:p>
      <w:r>
        <w:rPr>
          <w:b/>
        </w:rPr>
        <w:t xml:space="preserve">Quelle: </w:t>
      </w:r>
      <w:r>
        <w:t>https://mcp.opencaselaw.ch/entscheid/vd_findinfo_AI_218_10_-_55_2012</w:t>
      </w:r>
    </w:p>
    <w:p>
      <w:r>
        <w:t>FR: VD_FINDINFO AI 218/10 - 55/2012 du 13 février 2012</w:t>
      </w:r>
    </w:p>
    <w:p>
      <w:r>
        <w:t>IT: VD_FINDINFO AI 218/10 - 55/2012 del 13 febbraio 2012</w:t>
      </w:r>
    </w:p>
    <w:p>
      <w:pPr>
        <w:pStyle w:val="Heading2"/>
      </w:pPr>
      <w:r>
        <w:t>Regeste</w:t>
      </w:r>
    </w:p>
    <w:p>
      <w:r>
        <w:t>RENTE D'INVALIDITÉ, ÉVALUATION DE L'INCAPACITÉ DE TRAVAIL | 28 LAI, 4 al. 1 LAI, 16 LPGA, 7 LPGA, 8 LPGA</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sur la procédure administrative du 20 décembre 2008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Interjeté auprès du tribunal compétent dans le délai légal de trente jours dès la notification de la décision attaquée, le recours l'a été en temps utile (art. 60 al. 1 LPGA). Il satisfait en outre aux autres conditions légales (art. 61 let. b LPGA), de sorte qu'il est recevable en la forme.</w:t>
      </w:r>
    </w:p>
    <w:p>
      <w:r>
        <w:rPr>
          <w:b/>
        </w:rPr>
        <w:t>E. 2</w:t>
      </w:r>
    </w:p>
    <w:p>
      <w:r>
        <w:t>Le litige porte sur le droit du recourant aux prestations de l'assurance-invalidité, notamment à une rente.</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au moins (art. 28 al. 2 LAI, dans sa teneur en vigueur dès le 1 er janvier 2008, anciennement art. 29 al. 1 LAI).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sans et avec invalidité, il convient de se placer au moment de la naissance du droit éventuel à la rente (ATF 129 V 222, consid. 4.3.1). Selon la jurisprudence constante, le juge des assurances sociales apprécie la légalité des décisions attaquées, en règle générale, d'après l'état de fait existant au moment où la décision litigieuse a été rendue (ATF 121 V 362, consid. 1b et 116 V 246, consid. 1a et les références citées ; TF 9C_803/2009 du 25 mars 2010, consid. 5.2 ; TFA I 266/2006 du 19 juin 2006, consid. 4.2). Les faits survenus postérieurement, et qui ont modifié cette situation, doivent normalement faire l'objet d'une nouvelle décision administrative (ATF 121 V 362, consid. 1b et 117 V 287, consid. 4 ; TF 9C 537/2009 du 1 er mars 2010, consid. 3.2 et 9C_81/2007 du 21 février 2008, consid. 2.4).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8C_862/2008 du 19 août 2009, consid. 4.2 ;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274/05 du 21 mars 2006, consid. 1.2 ;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particulier, le juge ne peut écarter un rapport médical au seul motif qu’il a été établi par le médecin interne d’un assureur social, respectivement par le médecin traitant (ou l’expert privé) de la personne assurée, sans avoir examiné autrement sa valeur probante. En effet, il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rPr>
          <w:b/>
        </w:rPr>
        <w:t>E. 4</w:t>
      </w:r>
    </w:p>
    <w:p>
      <w:r>
        <w:t>Le recourant fait grief à l'intimé de ne pas avoir pris en compte, dans la fixation de sa capacité de travail, ses problèmes psychiques ainsi que ses difficultés liées à son faible niveau scolaire et à sa méconnaissance du français. Le diagnostic d'état dépressif réactionnel apparaît pour la première fois au dossier dans le rapport établi par le Dr B.________ le 25 novembre 2008. Ce rapport est toutefois parvenu à l'OAI le 9 décembre 2008, soit après la rédaction par le SMR du rapport du 2 décembre 2008 sur lequel se base notamment la décision litigieuse, raison pour laquelle ce diagnostic n'y apparaît pas. L'existence d'une atteinte psychique n'était par ailleurs mentionnée dans aucun autre document médical antérieur figurant au dossier. Cela étant, le Dr B.________ lui-même indique dans son rapport que ce diagnostic n'a aucune influence sur la capacité de travail de son patient, qu'il considère apte à travailler à plein temps dans une activité légère qui respecte ses limitations fonctionnelles, alors que l'OAI ne retient qu'une capacité de travail réduite à 70%. Aucune diminution de la capacité de travail du recourant pour cause d'atteinte à sa santé psychique ne saurait donc être retenue sur la base du rapport du Dr B.________ du 25 novembre 2008. Quant aux difficultés observées pendant le stage à l'Orif, soit notamment le manque de dynamisme et de motivation, ainsi que le faible niveau scolaire et les difficultés en français, elles ne peuvent être expliquées par l'atteinte à la santé dont souffre le recourant et ne sont dès lors pas des facteurs dont l'intimé devait tenir compte dans la fixation de la capacité de travail de l'assuré. En ce qui concerne le rapport d'examen rhumatologique effectué par le Dr Q.________, dont les conclusions sont claires et dûment motivées, il remplit tous les réquisits posés par la jurisprudence pour détenir valeur probante. L'attestation du Dr B.________ du 29 septembre 2010, qui ne fait que confirmer la totale incapacité de travail dans l'activité habituelle et l'existence de facteurs non médicaux faisant obstacle à une réorientation professionnelle, n'apporte aucun élément nouveau sur le plan médical. Quant au rapport des Drs K.________ et S.________ du 15 septembre 2010 et celui du Dr X.________ du 16 novembre 2011, ils attestent la persistance de douleurs sciatiques chroniques n'ayant pas répondu au traitement instauré mais ne font état d'aucun changement significatif dans les éléments objectifs depuis l'examen rhumatologique du Dr Q.________. Ces trois documents produits par le recourant n'apportent par conséquent aucun fait qui serait de nature à mettre en doute, même faiblement, l'examen rhumatologique du 7 novembre 2008 et donc à modifier la capacité de travail retenue par l'intimé. Il faut toutefois relever que dans son rapport établi le 3 juin 2010, soit un mois après la décision litigieuse, le Dr B.________ a fait état d’un état dépressif progressif actuellement grave, pour lequel une prise en charge psychiatrique devrait débuter prochainement. Ces considérations ne peuvent toutefois pas être prises en compte dans le cadre du présent recours, du fait qu'elles ont été attestées postérieurement à la décision litigieuse et que la prise en charge psychiatrique, si elle a bien eu lieu, a également été rendue nécessaire postérieurement à cette décision, les troubles dépressifs antérieurs à celle-ci n'ayant pas eu d’effet sur la capacité de travail du recourant, comme l'a attesté le Dr B.________ lui-même dans son premier rapport. Néanmoins, si l’état de santé de l’assuré devait effectivement se péjorer, cela constituerait un fait médical nouveau pouvant justifier une instruction complémentaire sous la forme d’une révision menée d’office par l’OAI ou sur demande dûment étayée de l'assuré, sans qu’il ne soit toutefois préjugé ici de l’issue d'une telle requête ni de la mise en œuvre d'office d'une révision par l'OAI. Il résulte de ce qui précède que l'assuré présente dès le 15 juillet 2006 une capacité de travail de 70% dans une activité adaptée à ses limitations fonctionnelles. Quant au calcul du taux d'invalidité, il n'est pas contesté pour lui-même. Il convient toutefois de le vérifier d'office dans ce qui suit.</w:t>
      </w:r>
    </w:p>
    <w:p>
      <w:r>
        <w:rPr>
          <w:b/>
        </w:rPr>
        <w:t>E. 5</w:t>
      </w:r>
    </w:p>
    <w:p>
      <w:r>
        <w:t>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(ATF 129 V 222, consid. 4.3.1 ; TF 9C_409/2009 du 11 décembre 2009, consid. 3.1 ; TF I 1034/06 du 6 décembre 2007, consid. 3.3.2.1). En l’espèce, l’année de comparaison des revenus est 2006, année de l’ouverture du droit à la rente (ATF 128 V 174, consid. 4a), soit un an après le début, le 19 novembre 2005, de l’incapacité de travail durable dans l’activité habituelle (art. 28 al. 1 let. b LAI). Pour établir le salaire sans invalidité, l'OAI s'est basé sur les données résultant de l'ESS, soit sur un salaire de 59'197 francs (ESS 2006, TA1, niveau de qualification 4). La prise en compte d'un tel revenu s'avère favorable au recourant. En effet, il ressort de son extrait de compte individuel AVS que ce dernier, qui travaillait sur appel pour un salaire horaire de 28 fr. auprès de son dernier employeur, n'a jamais réalisé un revenu aussi élevé. Il aurait toutefois pu être à même de réaliser un tel revenu s'il avait travaillé à temps plein pour le compte de ce même employeur.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7/06 du 12 janvier 2007, consid. 5.2 ; VSI 1999 p. 182).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 8C_22/2009 du 22 décembre 2009 ;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TFA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(TFA I 819/04 du 27 mai 2005, consid. 2.2 et les références). En l’espèce, le recourant était âgé de moins de 40 ans au moment de la décision litigieuse. Compte tenu de ses limitations fonctionnelles (alternance de position assise et debout 2 fois par heure, pas de soulèvement régulier de poids de plus de 5 kg, pas de port régulier de poids de plus de 10 kg, pas de travail en porte-à-faux statique prolongé du tronc, pas de génuflexions répétées et pas de franchissement régulier d'escabeaux, d'échelles ou d'escaliers), on doit admettre, au vu du large éventail d’activités simples et répétitives, sans formation nécessaire, que recouvrent les données ressortant de l'ESS, qu’un nombre significatif d’entre elles est adapté au handicap dont souffre le recourant (cf. notamment TF I 112/06 du 16 août 2007 ; TF I 111/06 du 19 avril 2007 ; TF I 372/06 du 25 janvier 2007 ; TF I 700/05 du 12 janvier 2007). Par ailleurs, il est à relever que le fait que le recourant ne maîtrise pas le français ne l'a pas empêché de travailler pour le compte de divers employeurs pendant plusieurs années. Au vu de ces éléments, on ne saurait considérer irréaliste le fait que le recourant puisse retrouver un emploi sur un marché équilibré du travail. L’office intimé a donc appliqué de façon correcte l’art. 16 LPGA en considérant que le recourant peut encore pleinement exploiter économiquement sa capacité de gain résiduelle sur le marché du travail. Par conséquent, le salaire de référence est celui auquel peuvent prétendre les hommes effectuant en 2006 des activités simples et répétitives dans le secteur privé (production et services), soit 4'732 fr. par mois, part au 13 ème salaire comprise (ESS 2006, TA1, niveau de qualification 4). Comme les salaires bruts standardisés tiennent compte d’un horaire de travail de quarante heures, soit une durée hebdomadaire inférieure à la moyenne usuelle dans les entreprises en 2006 (41,7 heures ; La Vie économique, 10-2006, p. 90, tableau B 9.2), le revenu mensuel s’élève à 4'933 fr. 11 (4'732 fr. x 41,7 / 40), ce qui donne un salaire annuel de 59'197 francs 32. c) Afin de tenir compte des limitations fonctionnelles et du taux d'occupation réduit du recourant, l’OAI a réduit les revenus ESS de 10%.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plus approprié et s’imposerait pour un motif pertinent, sans toutefois substituer sa propre appréciation à celle de l’administration (ATF 137 V 71). En l’espèce, le taux d'abattement de 10% retenu par l'OAI tient raisonnablement compte des limitations fonctionnelles du recourant, qui n'apparaissent pas excessives, de son manque de formation et de connaissances linguistiques, ainsi que de son taux d'occupation réduit. Dans ce contexte, il convient d'observer que certains facteurs étrangers à l'invalidité n'ont pas été pris en considération pour fixer le revenu hypothétique sans invalidité, sur la base de données salariales statistiques (cf. supra, consid. 5a). On ne saurait donc attribuer à ces facteurs une importance excessive pour fixer le revenu d'invalide (cf. ATF 135 V 297 ; 134 V 322, consid. 4 et 5.2 ; cf. Meyer-Blaser, Bundesgesetz über die Invalidenversicherung [IVG], 2 ème éd., p. 321 ss). Concrètement, le recourant, qui est encore jeune et qui bénéficie d'un permis d'établissement, n'a pas été empêché de travailler par sa méconnaissance de la langue écrite (lecture et écriture). Il peut donc trouver une activité simple dans des secteurs de production n'exigeant pas d'efforts physiques importants (cf. les conclusions de l'Oriph). La déduction de 10% à laquelle a procédé l'intimé n'est donc pas critiquable et doit dès lors être confirmée. d) Le salaire avec invalidité s’élève ainsi à 37'294 fr. 30 ([59'197 fr. 32 x 0,7] – 10%). Comparé au revenu sans invalidité de 59'197 fr., le taux d’invalidité est de 37% ({(59'197 fr. — 37'294 fr. 30] x 100} / 59'197 fr.), ce qui n'ouvre aucun droit à une rente (cf. art. 28 LAI). e) Concernant d'éventuelles mesures d'ordre professionnel, force est de constater qu'il n'est pas possible en l'état de les mettre en oeuvre. Il ressort en effet du rapport de l'Orif que le recourant peine à s'imaginer évoluer dans un nouveau domaine professionnel, ne sait pas du tout vers quelle nouvelle activité s'orienter et ne possède pas la capacité d'élaborer de nouveaux projets. L'approche de certains domaines de travail au travers des modules d'évaluation n'a d'autre part pas apporté de solution probante et le recourant peine à entrer dans une démarche de réinsertion concrète. Dans ses écritures, il ne sollicite par ailleurs aucune mesure professionnelle, mais uniquement l'octroi d'une rente entière d'invalidité.</w:t>
      </w:r>
    </w:p>
    <w:p>
      <w:r>
        <w:rPr>
          <w:b/>
        </w:rPr>
        <w:t>E. 6</w:t>
      </w:r>
    </w:p>
    <w:p>
      <w:r>
        <w:t>En définitive, le recours, mal fondé, doit être rejeté et la décision attaquée confirmée. En dérogation à l'art. 61 let. a LPGA, la procédure de recours en matière de contestations portant sur l'octroi ou le refus de prestations de l'AI devant le tribunal cantonal des assurances sociales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et 49 al. 1 LPA-VD). Il n'y a pas lieu d'allouer de dépens, le recourant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