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215/22 - 158/2023 vom 6. Juni 2023</w:t>
      </w:r>
    </w:p>
    <w:p>
      <w:r>
        <w:t>VD Tribunal cantonal, 2023-06-06, FR</w:t>
      </w:r>
    </w:p>
    <w:p>
      <w:r>
        <w:rPr>
          <w:b/>
        </w:rPr>
        <w:t xml:space="preserve">Quelle: </w:t>
      </w:r>
      <w:r>
        <w:t>https://mcp.opencaselaw.ch/entscheid/vd_findinfo_AI_215_22_-_158_2023___________</w:t>
      </w:r>
    </w:p>
    <w:p>
      <w:r>
        <w:t>FR: VD_FINDINFO AI 215/22 - 158/2023 du 6 juin 2023</w:t>
      </w:r>
    </w:p>
    <w:p>
      <w:r>
        <w:t>IT: VD_FINDINFO AI 215/22 - 158/2023 del 6 giugno 2023</w:t>
      </w:r>
    </w:p>
    <w:p>
      <w:pPr>
        <w:pStyle w:val="Heading2"/>
      </w:pPr>
      <w:r>
        <w:t>Regeste</w:t>
      </w:r>
    </w:p>
    <w:p>
      <w:r>
        <w:t>RENTE D'INVALIDITÉ, REJET DE LA DEMANDE, ATTEINTE À LA SANTÉ PSYCHIQUE, EXPERTISE MÉDICALE, FORCE PROBANTE, ÉVALUATION DE L'INCAPACITÉ DE TRAVAIL, CALCUL, DÉPRESSION | 28 LAI, 29 LAI, 4 al. 1 LAI, 16 LPGA, 6 LPGA, 61 let. c LPGA, 7 LPGA, 8 LPGA</w:t>
      </w:r>
    </w:p>
    <w:p>
      <w:pPr>
        <w:pStyle w:val="Heading2"/>
      </w:pPr>
      <w:r>
        <w:t>Erwägungen</w:t>
      </w:r>
    </w:p>
    <w:p>
      <w:r>
        <w:rPr>
          <w:b/>
        </w:rPr>
        <w:t>E. 6</w:t>
      </w:r>
    </w:p>
    <w:p>
      <w:r>
        <w:t>Sur le plan de l’exigibilité, les limitations fonctionnelles mises en évidence par le corps médical (fatigabilité, émotivité, irritabilité, sensibilité au stress avec risque de décompensation, troubles de la mémoire, faible capacité d’introspection) ne présentent pas de spécificités telles qu’elles rendraient illusoires l’exercice d’une activité professionnelle. Le marché du travail (sur cette notion : ATF 110 V 273 consid. 4b ; TF 9C_496/2015 du 28 octobre 2015 consid. 3.2) offre en effet un large éventail d’activités légères, dont on doit convenir qu’un certain nombre sont adaptées aux limitations fonctionnelles du recourant et accessibles sans aucune formation professionnelle. Le recourant n’établit pas de manière convaincante en quoi des activités simples et légères, telles que celles décrites dans le rapport du service de réadaptation de l’intimé du 19 août 2021, ne seraient pas exigibles au regard des limitations retenues. Par ailleurs, il n’y a pas lieu de limiter les activités exigibles à celles qui sont en lien avec la nature et les animaux, celles-ci correspondant simplement à des activités pour lesquelles le recourant a exprimé de l’intérêt (cf. rapport d’expertise du 23 avril 2021, p. 8).</w:t>
      </w:r>
    </w:p>
    <w:p>
      <w:r>
        <w:rPr>
          <w:b/>
        </w:rPr>
        <w:t>E. 7</w:t>
      </w:r>
    </w:p>
    <w:p>
      <w:r>
        <w:t>Cela étant constaté, il convient ensuite de déterminer le degré d’invalidité que le recourant présente. a) L’art. 16 LPGA s’applique à l’évaluation de l’invalidité des assurés exerçant une activité lucrative (art. 28 a al. 1 LAI). Ainsi,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bb) On ne tiendra compte d’une hypothétique évolution salariale en raison d’un développement des capacités professionnelles individuelles (complément de formation, par exemple) ou de circonstances telles qu’une éventuelle promotion ou d’un changement d’emploi que si des indices concrets rendent une telle évolution de la carrière professionnelle vraisemblable de manière prépondérante. De simples déclarations d’intention de la personne assurée ne suffisent pas (TF 8C_290/2013 du 11 mars 2014 consid. 6 ; TF 9C_486/2011 du 12 octore 2011 consid. 4.1 ; Margit Moser-Szeless , in Dupont/Moser-Szeless [édit.], Loi sur la partie générale des assurances sociales, Commentaire romand, Bâle 2018, n. 18 ad art. 16 LPGA). c) Comme le revenu sans invalidité, le revenu avec invalidité doit être évalué avant tout en fonction de la situation professionnelle concrète de la personne assurée. aa)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d) aa) Il est constant que le recourant présente une incapacité de travail totale dans son activité de « Customer Support » depuis le 24 septembre 2018 en raison de sa maladie psychique. Selon l'art. 28 al. 1 let. b LAI, le droit à la rente prend naissance au plus tôt à la date dès laquelle l'assuré a présenté, en moyenne, une incapacité de travail de 40 % au moins pendant une année sans interruption notable. En l’espèce, le moment de l'ouverture du droit à une éventuelle rente de l'assurance-invalidité correspond au mois de septembre 2019. La comparaison des revenus doit ainsi être faite à la lumière des revenus de l'année 2019, date de l'ouverture du droit éventuel à la rente, conformément aux constatations de l’office intimé dans ses décisions. bb) Pour fixer le revenu sans invalidité, il se justifie en l’espèce de se référer au salaire que le recourant a effectivement perçu en 2018 avant l’atteinte à la santé, soit au montant de 64'400 fr. (et non au montant de 44'800 fr. figurant dans l’extrait du compte individuel AVS [lequel semble manifestement erroné] ou au montant de 60'000 fr. figurant dans le rapport d’employeur [lequel est contredit par les salaires effectivement versés au recourant]). Après indexation de ce montant pour 2019 (+ 0,9 % ; Tableau T 39 Evolution des salaires nominaux, des prix à la consommation et des salaires réels, 2010-2020 publié par l’Office Fédéral de la Statistique [OFS]), on obtient un revenu sans invalidité de 64'979 fr. 60. Il n’y a par ailleurs pas lieu de se référer au montant de 75'000 fr. mentionné dans le rapport d’employeur, dès lors que la brièveté des rapports de travail – un peu moins de vingt-et-un mois au moment de la survenance de l’incapacité de travail – ne permet pas de préjuger, en l’absence d’autres indices concrets, d’une évolution salariale positive d’une ampleur comparable à celle invoquée (cf. TF 9C_221/2014 du 28 août 2014 consid. 3.2 et les références). cc) Il n’y a pas lieu de s’écarter du revenu d’invalide calculé par l’office intimé, le montant de 34'188 fr. 29 n’étant pas véritablement contesté. A cet égard, contrairement à ce que soutenait le recourant au cours de la procédure administrative, un taux d’abattement supplémentaire sur le salaire statistique n’a pas à être retenu, les limitations fonctionnelles ayant déjà été prises en compte dans la baisse de rendement admise sur le plan médical. e) La comparaison d’un revenu sans invalidité de 64'979 fr. 60 avec un revenu d’invalide de 34'188 fr. 29 aboutit à un degré d’invalidité de 47,38 %, arrondi à 47 % (cf. ATF 131 V 121).  A l'échéance du délai d’attente d’une année (cf. art. 28 al. 1 LAI), soit le 24 septembre 2019, le recourant pouvait prétendre à un quart de rente de l’assurance-invalidité (cf. art. 28 al. 2 LAI). La demande de prestations ayant été déposée tardivement le 1 er novembre 2019, le droit à la rente ne prend effet que le 1 er mai 2020 (cf. art. 29 al. 1 et 3 LPGA), comme l’a retenu, à juste titre, l’office intimé dans ses décisions.</w:t>
      </w:r>
    </w:p>
    <w:p>
      <w:r>
        <w:rPr>
          <w:b/>
        </w:rPr>
        <w:t>E. 8</w:t>
      </w:r>
    </w:p>
    <w:p>
      <w:r>
        <w:t>a) En définitive, le recours, mal fondé, doit être rejeté et les décisions attaquées confirmées. b) La procédure de recours en matière de contestations portant sur l’octroi ou le refus de prestations de l’assurance-invalidité est soumise à des frais de justice (art. 69 al. 1 bis LAI). Il convient de les fixer à 600 fr. et de les mettre à la charge du recourant, vu le sort de ses conclusions. c) Il n’y a pas lieu d’allouer de dépens au recourant, qui n’obtient pas gain de cause (art. 61 let. g LPGA).</w:t>
      </w:r>
    </w:p>
    <w:p>
      <w:r>
        <w:rPr>
          <w:b/>
        </w:rPr>
        <w:t>E. 9</w:t>
      </w:r>
    </w:p>
    <w:p>
      <w:r>
        <w:t>a) Le recourant est au bénéfice de l’assistance judiciaire. Les frais judiciaires mis à sa charge sont donc provisoirement supportés par l’Etat et Me Hichri peut prétendre une équitable indemnité pour son mandat d’office. En l’occurrence, Me Hichri ayant renoncé à produire la liste de ses opérations, la Cour de céans statue en équité, sur la base d’une estimation des opérations nécessaires pour la conduite du procès (art. 3 al. 2 RAJ), et fixe l’indemnité d’office à 1’800 fr., débours et TVA compris. b) Le recourant est rendu attentif au fait qu’il devra rembourser les frais et l’indemnité provisoirement pris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