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212/18 - 248/2020 vom 24. Juli 2020</w:t>
      </w:r>
    </w:p>
    <w:p>
      <w:r>
        <w:t>VD Tribunal cantonal, 2020-07-24, FR</w:t>
      </w:r>
    </w:p>
    <w:p>
      <w:r>
        <w:rPr>
          <w:b/>
        </w:rPr>
        <w:t xml:space="preserve">Quelle: </w:t>
      </w:r>
      <w:r>
        <w:t>https://mcp.opencaselaw.ch/entscheid/vd_findinfo_AI_212_18_-_248_2020</w:t>
      </w:r>
    </w:p>
    <w:p>
      <w:r>
        <w:t>FR: VD_FINDINFO AI 212/18 - 248/2020 du 24 juillet 2020</w:t>
      </w:r>
    </w:p>
    <w:p>
      <w:r>
        <w:t>IT: VD_FINDINFO AI 212/18 - 248/2020 del 24 luglio 2020</w:t>
      </w:r>
    </w:p>
    <w:p>
      <w:pPr>
        <w:pStyle w:val="Heading2"/>
      </w:pPr>
      <w:r>
        <w:t>Regeste</w:t>
      </w:r>
    </w:p>
    <w:p>
      <w:r>
        <w:t>CONDITION DU DROIT À LA PRESTATION D'ASSURANCE, RENTE D'INVALIDITÉ, ÉVALUATION DE L'ATTEINTE À LA SANTÉ, ÉVALUATION DE L'INCAPACITÉ DE TRAVAIL, ÉVALUATION DE L'INVALIDITÉ | 28 LAI, 16 LPGA, 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du recourant à une rente d’invalidité non limitée dans le temps. Sont contestés par l’assuré l’évaluation de sa capacité de travail et le calcul du degré d’invalidité, soit en particulier les revenus sans et avec invalidité retenus par l’intimé. A titre subsidiaire, le recourant fait valoir le droit à des mesures de reclassement professionnel.</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simple appréciation différente d’un état de fait, qui, pour l’essentiel, est demeuré inchangé n’appelle en revanche pas à une révision au sens de l’art. 17 LPGA (ATF 141 V 9 consid. 2.3).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4</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5</w:t>
      </w:r>
    </w:p>
    <w:p>
      <w:r>
        <w:t>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 TFA I 274/2005 du 21 mars 2006 consid. 1.2).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a) Sur le plan médical, le recourant conteste l’appréciation médicale de l’OAI en faisant valoir que le manque de mobilité et les douleurs à son poignet gauche l’empêchent d’exercer une quelconque activité professionnelle. Pour sa part, l’intimé estime que l’exercice d’une activité adaptée aux limitations fonctionnelles décrites par la AA .________ dans son rapport du 29 juin 2015 est exigible, le médecin d’arrondissement de la CNA ayant indiqué dans son rapport d’examen final du 3 avril 2017 que sa main gauche était fonctionnelle, même si elle manque de force. b) Dans son rapport d’examen final du 3 avril 2017, le Dr V.________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 er compartiment des extenseurs du poignet gauche pour traitement d’une ténosynovite sténosante (cf. protocole opératoire du 11 décembre 2012, respectivement 30 avril 2013 du Dr F.________), une exérèse chirurgicale d’un kyste arthro-synovial dorsal du poignet gauche le 3 septembre 2013 (cf. rapport du 9 septembre 2013 du Dr F.________), une libération du contenu de la 1 ère coulisse des extenseurs du poignet gauche et une neurolyse des branches superficielles du nerf radial (cf. protocole post-opératoire du 13 mai 2014 du Dr S.________) et une dénervation du nerf interosseux dorsal du poignet gauche le 20 septembre 2016 (cf. protocole opératoire établi le même jour par le Dr C.________). Le Dr V.________ fait part des constatations et des conclusions indiquées dans les rapports du Dr T.________ de la AA .________ à la suite des deux séjours de trois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pas certains jours. C’est son médecin traitant qui le suit, le Dr L.________. Il consulte toujours un psychiatre mais ne prend pas d’antidépresseurs. Suit l’exposé des constatations du Dr V.________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V.________, qui a préalablement pu constater lors de l’examen que l’assuré parvenait à lacer ses chaussures avec beaucoup d’habileté et de célérité et dont la thymie semble rétablie (par rapport à son examen du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AA .________ (cf. rapport du 29 juin 2015) et conclut que l’intéressé a recouvré une pleine capacité de travail dans une activité respectant celles-ci, soit privilégiant le contrôle et la surveillance au travail purement manuel. Les constatations et les conclusions du médecin d’arrondissement de la CNA sont largement corroborées par celles des spécialistes de la AA .________ ainsi que cela ressort du rapport du Dr T.________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AA .________ concluaient en juin 2015 déjà que la situation était stabilisée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Cela étant, force est de reconnaître que le rapport d’examen final du 3 avril 2017 du médecin d’arrondissement de la CNA est en tous points conforme aux exigences de la jurisprudence en la matière. Les rapports médicaux produits par le recourant à l’appui de son recours ne remettent nullement en doute les conclusions ci-dessus rappelées. Les rapports des 26 janvier et 12 février 2018 du Dr Z.________ ne révèlent en effet pas une situation qui n’aurait pas été prise en compte par l’OAI.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Z.________, qui ne se prononce aucunement par ailleurs sur la capacité de travail résiduelle du recourant, ne sont pas en contradiction avec les pièces médicales au dossier, mais tendent plutôt à corroborer le point de vue des Drs V.________ et T.________. Cela étant, il y a lieu de retenir qu’une activité professionnelle adaptée aux limitations fonctionnelles, donc ne sollicitant pas trop son poignet gauche, est exigible. Au demeurant, la Cour de céans relève que malgré plusieurs prolongations de délai accordées au recourant pour produire des pièces médicales nouvelles attestant son point de vue, il n’a au final déposé aucun rapport susceptible de mettre en doute les conclusions bien étayées du rapport d’examen final du Dr V.________ concernant la capacité de travail exigible. Ainsi, dans son rapport du 22 décembre 2017, le Dr J.________ expose, en ce qui concerne la douleur au poignet gauche du recourant que, dès lors qu’il n’y pas d’indication à une nouvelle intervention chirurgicale, il reste toutefois la possibilité d’une neuromodulation. A l’instar de l’intimé, on constate que cette procédure recommandée par le Dr J.________ ne constitue pas une entrave à l’exercice d’une activité professionnelle en accord avec les limitations fonctionnelles tenant compte de la particularité du poignet gauche du recourant. Par ailleurs, le recourant, respectivement le Dr J.________, ne rendent pas vraisemblable que ce traitement serait susceptible d’augmenter, voire de rétablir la capacité de travail du recourant. Comme déjà indiqué ci-dessus, le courrier du Dr Z.________ adressé au médecin traitant du recourant le 26 janvier 2018 indique pour sa part simplement qu’il a proposé à l’intéressé une arthro IRM afin de faire un bilan cartilagineux et ligamentaire précis afin de pouvoir affiner le diagnostic et lui faire des propositions thérapeutiques si celles-ci sont envisageables. Dans un courrier du 12 février adressé au médecin conseil de la CNA, le Dr Z.________ relevait toutefois que l’arthro IRM n’avait pas révélé de lésion séquellaire d’arthrose et que, le problème principal étant lié aux douleurs et au manque de mobilité, il craignait qu’une intervention visant à redonner de la mobilité n’entretienne le recourant dans un secteur de mobilité qui devienne encore plus douloureux. Il en concluait qu’il ne pouvait qu’encourager le recourant à porter une attelle pour le soulager la nuit et en cas mouvement de force. Enfin, le bref courriel adressé le 23 novembre 2018 par le Dr Z.________ à l’associé du conseil du recourant indique seulement que ce médecin n’a pas programmé d’intervention, être dans l’attente d’une réponse de la CNA et devoir revoir le recourant en janvier 2019. Cela étant, on ne saurait déduire des constats et de l’avis du Dr Z.________ une quelconque divergence d’opinion quant à la situation médicale du recourant et en particulier pas en ce qui concerne sa capacité résiduelle de travail. c) Le recourant fait encore valoir que son état de santé s’est péjoré en raison des séquelles d’une intervention chirurgicale à l’épaule droite. Le 20 juin 2019, l’intimé a produit le rapport du Dr C.________ du 21 mai 2019 qui se rapporte aux suites d’une refixation arthroscopique qu’il a effectuée sur le recourant le 1 er octobre 2018. Ce rapport a été soumis par l’OAI au SMR. Dans un avis du 17 juin 2019, le Dr W.________ considère que le courrier du Dr C.________ fait état d’éléments postérieurs à la période qui prévalait jusqu’à la décision litigieuse. Il relève en outre qu’il se rapporte à une autre localisation anatomique soit à une atteinte des muscles permettant la rotation de l’épaule droite. De plus il est noté qu’aucune précision n’est donnée sur le mécanisme à l’origine de l’atteinte ni sur la localisation de la ou des lésion(s) de l’épaule. Selon une jurisprudence constante le juge des assurances sociales apprécie la légalité des décisions attaquées, en règle générale d’après l’état de fait existant au moment où la décision litigieuse a été rendue (cf. ATF 121 V 366 consid. 1b et les arrêts cités). Les faits survenus postérieurement, et qui ont modifié cette situation, comme le prétend le recourant en l’espèce, doivent faire l’objet d’une nouvelle décision administrative (ATF 121 V 366 précité). Ainsi, si cette problématique est susceptible de persister au-delà d’une année et qu’elle est de nature à entraver la capacité de travail et de gain de manière durable, il appartiendra au recourant de déposer une nouvelle demande de prestations auprès de l’OAI. d) Au vu de ce qui précède, il y a lieu de considérer que la capacité de travail du recourant est, depuis le 3 avril 2017, entière dans une activité adaptée aux limitations fonctionnelles décrites dans le rapport de la AA .________ du 29 juin 2015.</w:t>
      </w:r>
    </w:p>
    <w:p>
      <w:r>
        <w:rPr>
          <w:b/>
        </w:rPr>
        <w:t>E. 7</w:t>
      </w:r>
    </w:p>
    <w:p>
      <w:r>
        <w:t>Dans un deuxième grief, le recourant critique le calcul du degré d’invalidité opéré par l’intimé, contestant tant le revenu sans invalidité qu’avec invalidité retenus par l’OAI. a) En ce qui concerne le revenu sans invalidité, l’intimé a indiqué dans sa décision du 25 mai 2018 retenir un revenu de 58'581 fr. 38 sur la base des indications fournies par l’employeur du recourant. Pour sa part, ce dernier fait valoir que, selon le contrat de mission conclu avec R.________, le salaire sans atteinte à la santé s’élèverait à 63'479 fr. 78 (26 fr. 85/heure x 42 x 52), étant donné qu’il bénéficiait d’un 13 ème salaire. Si on se réfère au contrat de mission invoqué par le recourant, on constate que le salaire horaire du recourant se composait comme suit : salaire horaire de base 26 fr. 83, auquel s’ajoutent 2 fr. 31 à titre d’indemnité pour les vacances (8, 33 %), 0 fr. 86 à titre d’indemnité pour les jours fériés (3, 2 %) et 2 fr. 50 (8, 33 %) pour le 13 ème salaire, soit un total de 32 fr. 50 de l’heure. Dans le cas où, comme en l’espèce, le salaire horaire comprend une indemnité pour les vacances et une pour les jours fériés, il convient, conformément à la jurisprudence du Tribunal fédéral en la matière (cf. TF 8C_520/2016 arrêt du 14 août 2017, consid. 4.3.2), de déduire du temps de travail annuel les jours correspondant aux vacances et aux jours fériés avant d’ajouter un supplément de 8, 33 % pour tenir compte du 13 ème salaire. Par conséquent, il y a lieu de calculer le revenu sans invalidité comme suit : 26 fr. 83 (salaire horaire de base) x 42 (heures hebdomadaires) x 52 (horaire annuel) et d’ajouter à ce total 8,33 % à titre de 13 ème salaire. On obtient ainsi un revenu annuel sans invalidité de 63'477 fr. 83 (58'596 fr. 72 + 4'881 fr. 11). Il y a toutefois encore lieu d’indexer le salaire de 2013 à 2017, naissance éventuelle du droit à une rente. Toutefois, a 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b) En ce qui concerne le revenu d’invalide, il y a lieu de constater que l’intimé s’est conformé à la jurisprudence du Tribunal fédéral en la matière en se fondant sur les données statistiques résultant de l’ESS et en tenant compte de la capacité résiduelle de travail du recourant et de son niveau de compétences, soit le  salaire de référence auquel peuvent prétendre les hommes effectuant des tâches physiques ou manuelles simples dans le secteur privé (production et service) (TA1 ; niveau de compétences 1) avant de l’adapter à la durée hebdomadaire moyenne de travail et à l’évolution des salaires nominaux de 2013 à 2017. Ce calcul ne prête pas le flanc à la critique et doit être confirmé. Ainsi, le revenu avec invalidité s’élève à 67'656 fr. 27, ce qui correspond à un salaire mensuel de 5'638 francs. Il s’ensuit que le revenu avec invalidité (5'638 fr.) est légèrement supérieur à celui sans invalidité (5'289 fr. 80), ce même en procédant à un abattement de 5 %. L’intimé était donc légitimé à ne retenir aucun préjudice économique (art. 16 LPGA). Le degré d’invalidité étant nul, la suppression de la rente d’invalidité trois mois après que la capacité de travail, respectivement de gain du recourant s’est améliorée, soit dès le 1 er août 2017 (art. 88a al. 1 RAI [règlement sur l’assurance invalidité du 17 janvier 1961 ; RS 831.201]), s’avère justifiée. c) Le degré d’invalidité du recourant étant nul, ses conclusions subsidiaires tendant à l’octroi de mesures de reclassement professionnel doivent être rejetées (art. 17 LAI).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son audition et celles de ses médecins par la Cour de céans. En effet, une telle mesure ne serait pas de nature à modifier les considérations qui précèdent, les faits pertinents ayant pu être constatés à satisfaction de droit. La requête du recourant en ce sens doit ainsi être rejetée.</w:t>
      </w:r>
    </w:p>
    <w:p>
      <w:r>
        <w:rPr>
          <w:b/>
        </w:rPr>
        <w:t>E. 9</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ils doivent être fixés à 400 fr. et mis à la charge du recourant, qui succombe. N’obtenant pas gain de cause, le recourant n’a pas droit à des dépens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29 novembre 2019, le recourant a été mis au bénéfice de l’assistance judiciaire avec effet au 28 juin 2018 et a obtenu à ce titre la commission d’un avocat d’office en la personne de Me Jean-Pierre Wavre. Ce dernier a produit sa liste des opérations le 12 décembre 2019, qui comprend notamment des débours. Il convient toutefois sur ce dernier point d’appliquer le forfait de 5 % du défraiement hors taxe (art. 3bis al. 1 RAJ [règlement cantonal du 7 décembre 2010 sur l’assistance judiciaire en matière civile ; BLV 211.02.3]). Toutefois, les opérations antérieures au 28 juin 2018 (0.25 heure) et celles relatives à la lecture, à l’analyse de l’arrêt et à l’envoi de l’arrêt avec commentaire par anticipation (0.33 et 0.25 heure) doivent être retranchées du total des heures comptabilisées. Au final, compte tenu de la difficulté de la cause et de son ampleur, le montant de l’indemnité de Me Jean-Pierre Wavre est arrêté à 2'200 francs,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