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208/16 - 336/2018 vom 21. November 2018</w:t>
      </w:r>
    </w:p>
    <w:p>
      <w:r>
        <w:t>VD Tribunal cantonal, 2018-11-21, FR</w:t>
      </w:r>
    </w:p>
    <w:p>
      <w:r>
        <w:rPr>
          <w:b/>
        </w:rPr>
        <w:t xml:space="preserve">Quelle: </w:t>
      </w:r>
      <w:r>
        <w:t>https://mcp.opencaselaw.ch/entscheid/vd_findinfo_AI_208_16_-_336_2018</w:t>
      </w:r>
    </w:p>
    <w:p>
      <w:r>
        <w:t>FR: VD_FINDINFO AI 208/16 - 336/2018 du 21 novembre 2018</w:t>
      </w:r>
    </w:p>
    <w:p>
      <w:r>
        <w:t>IT: VD_FINDINFO AI 208/16 - 336/2018 del 21 novembre 2018</w:t>
      </w:r>
    </w:p>
    <w:p>
      <w:pPr>
        <w:pStyle w:val="Heading2"/>
      </w:pPr>
      <w:r>
        <w:t>Regeste</w:t>
      </w:r>
    </w:p>
    <w:p>
      <w:r>
        <w:t>AI{ASSURANCE}, EXPERTISE, INCAPACITÉ DE TRAVAIL, AFFECTION PSYCHIQUE, ADMISSION DE LA DEMANDE, DEMI-RENTE | 28 al. 2 LAI, 4 al. 1 LAI, 17 LPGA, 6 LPGA, 7 al. 1 LPGA, 8 al. 1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(art. 60 al. 1 LPGA). b) En l’occurrence, déposé en temps utile compte tenu des féries d’été (art. 38 al. 4 let. b LPGA)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Le litige porte sur le caractère limité dans le temps de la rente octroyée, au motif d’un retour à une pleine capacité de travail dans une activité adaptée tel que fondé sur l’examen de la Dresse E.________ et du Dr T.________, nonobstant les atteintes à la santé psychique de la recourante. L’évaluation des atteintes à la santé physique n’étant ni contestée, ni critiquable, elle ne sera pas remise en question.</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Chez les assurés n’exerçant que partiellement une activité lucrative, l'invalidité est, pour cette part, évaluée selon la méthode générale de comparaison des revenus (art. 28 a al. 1 LAI en corrélation avec l'art. 16 LPGA). S'ils se consacrent en outre à leurs travaux habituels, l'invalidité est fixée, pour cette activité, selon la méthode spécifique d'évaluation de l'invalidité (art. 28 a al. 2 LAI et 8 al. 3 LPGA).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L'invalidité totale de la personne assurée résultera de l'addition des taux d'invalidité pondérés dans les deux domaines (ATF 130 V 393 consid. 3.3). C’est la méthode mixte d’évaluation de l’invalidité (art. 28 a al. 3 LAI en corrélation avec l'art. 27 bis RAI [règlement du 17 janvier 1961 sur l'assurance-invalidité ; RS 831.201] ; également ATF 137 V 334 et 131 V 51 consid. 5.1.2). Pour l'évaluation de l'incapacité sur la part ménagère,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TF 9C_784/2013 du 5 mars 2014 consid. 3.3 et les références).</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3.5</w:t>
      </w:r>
    </w:p>
    <w:p>
      <w:r>
        <w:t>; 113 V 273 consid. 1a p. 275). Une simple appréciation différente d'un état de fait, qui, pour l'essentiel, est demeuré inchangé n'appelle en revanche pas à une révision au sens de l'art. 17 LPGA (ATF 112 V 371 consid. 2b p. 372,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 TF 9C_97/2011 du 21 juillet 2011 consid. 4).</w:t>
      </w:r>
    </w:p>
    <w:p>
      <w:r>
        <w:rPr>
          <w:b/>
        </w:rPr>
        <w:t>E. 4</w:t>
      </w:r>
    </w:p>
    <w:p>
      <w:r>
        <w:t>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9C_58/2013 consid. 3.1).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 133 V 450 consid. 11.1.3 ; 125 V 351 consid. 3a ; TF 8C_862/2008 précité consid.</w:t>
      </w:r>
    </w:p>
    <w:p>
      <w:r>
        <w:rPr>
          <w:b/>
        </w:rPr>
        <w:t>E. 4.2</w:t>
      </w:r>
    </w:p>
    <w:p>
      <w:r>
        <w:t>; 9C_773/2007 du 23 juin 2008 consid. 2.1 ;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8C_862/2008 précité consid. 4.2 ; TFA I 554/01 du 19 avril 2002 consid. 2a).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 TF 9C_776/2009 du 11 juin 2010 consid. 2.2).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w:t>
      </w:r>
    </w:p>
    <w:p>
      <w:r>
        <w:rPr>
          <w:b/>
        </w:rPr>
        <w:t>E. 5</w:t>
      </w:r>
    </w:p>
    <w:p>
      <w:r>
        <w:t>Selon la jurisprudence (TF 9C_307/2008 du 4 mars 2009 consid. 3 et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 a al. 1 RAI). La rente peut être révisée non seulement en cas de modification sensible de l'état de santé, mais aussi lorsque celui-ci est resté en soi le même, mais que ses conséquences sur la capacité de gain ont subi un changement important (ATF 130 V 343 consid.</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7</w:t>
      </w:r>
    </w:p>
    <w:p>
      <w:r>
        <w:t>a) En l’espèce, l’intimé s’est fondé sur le rapport des Drs T.________ et E.________ pour octroyer à la recourante une rente limitée dans le temps. Les médecins traitants ont émis une opinion divergente quant à l’évaluation de la capacité de travail en lien avec l’état de santé psychique de la recourante. Leurs rapports, détaillés et motivés ont conduit le juge instructeur à ordonner la mise en œuvre d’une expertise judiciaire, dont l’intimé remet en cause la valeur probante. L’intimé ne peut être suivi dans ses critiques. L’expertise du Dr H.________ remplit les conditions de la jurisprudence pour se voir reconnaître pleine valeur probante (cf. supra consid. 4). En effet, les points litigieux importants ont fait l'objet d'une étude fouillée, le rapport se fonde sur deux examens de la recourante, son dossier médical complet et procède à une discussion fine d’un cas manifestement délicat, par une approche d’exclusion des diagnostics pouvant entrer en ligne de compte. En particulier, l’expert explique la divergence entre les conclusions des médecins traitants et celles du SMR. Il expose de manière convaincante pourquoi il retient le diagnostic de trouble de l’humeur persistant. Contrairement à ce que soutient l’intimé, on ne saurait reprocher à l’expert d’avoir pris en compte les plaintes de la recourante dès lors que cela relève précisément du mandat d’expertise. Cette dernière n’est pas non plus emprunte de jugements de valeurs, mais procède bien d’une discussion du cas quant à la nature du trouble de l’humeur persistant et son impact sur la capacité de travail résiduelle. L’intimé reproche en particulier à l’expert d’avoir exposé qu’il était évident que la recourante ne reprendrait pas d’activité professionnelle, ce qui démontrerait une certaine subjectivité. On ne voit pas en quoi le fait que l’expert rapporte la démotivation de la recourante à reprendre une activité invaliderait son appréciation de la capacité de travail. Il était au contraire de son devoir de le relever, ceci afin de distinguer appréciation subjective de la recourante et éléments objectifs. L’intimé reproche finalement à l’expert une contradiction dans son appréciation de la capacité de travail puisqu’il dit qu’un changement de médication n’en permettrait pas un recouvrement même partiel, mais retient tout de même une capacité de travail de deux à trois heures par jour. Ceci ne suffit pas à nier la valeur probante de l’appréciation de l’expert. Ce dernier est en définitive clair lorsqu’il affirme que la capacité de travail n’est pas complètement nulle. On comprend finalement qu’une modification de la médication ne serait pas susceptible d’améliorer dite capacité. En définitive, le rapport d’expertise a été établi en pleine connaissance de l’anamnèse et de toutes les pièces médicales pertinentes, la description de l’atteinte à la santé est claire et les conclusions sont dûment motivées, de sorte qu’il convient de leur conférer pleine valeur probante. Au vu de ce qui précède, il n’est pas nécessaire d’examiner les griefs de la recourante à l’encontre des différents rapports du SMR. b) Le Dr H.________ retient une capacité de travail dans une activité adaptée, soit une activité simple non soumise à un rythme soutenu, qui implique des positions variées et ne demande pas d’effort de concentration important, de deux à trois heures par jour. On retient dès lors que la recourante présente une capacité de travail de 2.5 heure par jour, soit 12.5 heures par semaine, ce qui représente 29.97 % (arrondi à 30 %) pour un plein temps (soit 41.7 heures par semaine conformément aux statistiques sur la durée normale du travail dans les entreprises publiées par l’Office fédéral de la statistique).</w:t>
      </w:r>
    </w:p>
    <w:p>
      <w:r>
        <w:rPr>
          <w:b/>
        </w:rPr>
        <w:t>E. 8</w:t>
      </w:r>
    </w:p>
    <w:p>
      <w:r>
        <w:t>a) Dès lors que la recourante présente une capacité de travail résiduelle dans une activité adaptée à son état de santé, il convient de procéder à une comparaison des revenus selon la méthode mixte d’évaluation de l’invalidité (cf. supra consid. 3b). La recourante soutient que sa capacité de travail est, sur la base des conclusions du Dr H.________, de 30 %, ce qui n’influence pas son droit à la rente. Cela serait vrai si elle devait être considérée comme active à 100 %. Or son statut est de 70 % active et 30 % ménagère, ce qu’elle n’a pas contesté. Le calcul du degré d’invalidité doit tenir compte de cette pondération. b) Compte tenu de la date de la décision administrative en cause, qui détermine l'application dans le temps des règles légales au présent litige (TF 9C_446/2013 et 9C_469/2013 du 21 mars 2014 consid. 4.2), il n'y a pas lieu de tenir compte de la modification réglementaire relative à l'évaluation de l'invalidité des assurés exerçant une activité lucrative à temps partiel entrée en vigueur le 1 er janvier 2018 (art. 27bis RAI et les dispositions transitoires de la modification du RAI du 1 er décembre 2017, RO 2017 7581 ; voir aussi TF 9C_8/2018 consid. 2.3 et 9C_553/2017 du 18 décembre 2017 consid. 6.2). Ainsi, le taux d’invalidité doit être calculé de la manière suivante : (revenu sans invalidité à 70 % – revenu d’invalide) / revenu sans invalidité à 70 % x 100 x 0.7 (TF 9C_8/2018 du 14 mars 2018 consid. 5.1 ; TF 9C_858/2017 du 20 février 2018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publiée par l'Office fédéral de la statistique (ATF 129 V 472 consid. 4.2.1; TF 9C_900/2009 du 27 avril 2010 consid. 3.3 ; TF 9C_609/2009 du 15 avril 2010 consid. 8.2.2). On se réfère alors à la statistique des salaires bruts standardisés, en se fondant toujours sur la médiane ou valeur centrale (ATF 124 V 323 consid. 3b/bb ; TF 9C_93/2008 du 19 janvier 2009 consid. 6.3.3 ; TF I 7/06 du 12 janvier 2007 consid. 5.2; VSI 1999 p. 182).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134 V 22 ; ATF 126 V 75). La recourante n’ayant pas repris d’activité professionnelle, c’est à juste titre que l’intimé a déterminé le revenu d’invalide sur la base de l’ESS, en particulier le salaire auquel peuvent prétendre les femmes effectuant des tâches physiques ou manuelles simples dans le secteur privé, niveau de compétence 1. L’intimé peut-être suivi dans son calcul du revenu d’invalide, à ceci près que l’indexation du montant de 51'144 fr. 10, qui correspond à l’année 2012 et tient correctement compte d’un horaire de travail normal dans une entreprise de 41.7 heures par semaine, porte le salaire annuel à 51'914 fr. 10 en 2014 (+ 0.7 en 2013 et + 0.8 en 2014) et non 51'801 fr. 21. Pour un taux d’activité de 30 %, tel que déterminé par le Dr H.________, le revenu annuel est de 15'574 fr. 20 en 2014. C’est à raison que l’intimé a tenu compte d’un abattement de 10 %. Le revenu d’invalidité est ainsi de 14'016 fr. 80 pour l’année 2014.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On constate en l’espèce avec la recourante que le revenu retenu par l’intimé, soit 32'137 fr., est le montant figurant sur l’extrait du compte individuel de la recourante pour l’année 2011. Il manquerait alors à ce montant une indexation à 2014. Quoiqu’il en soit, l’intimé ne pouvait prendre tel quel ce revenu comme revenu sans invalidité. Il ne correspond en effet pas à un taux d’activité de 70 %. Selon la demande de prestations de la recourante déposée en septembre 2012, son taux d’activité était de 50 %. Dans le questionnaire pour employeur du 3 octobre 2012, L.________ SA a indiqué que la recourante travaillait 15 heures sur 40 depuis le 1 er juillet 2002, jusqu’à son incapacité totale de travail le 30 mai 2012. Le salaire annuel de la recourante était de 28'092 francs par année depuis le 1 er avril 2012, salaire qui correspondait à son rendement et à ce qu’elle aurait gagné au 3 octobre 2012 sans atteinte à la santé. Le taux d’activité de la recourante pour L.________ SA avant son atteinte à la santé était donc de 37.5 % (15 heures x 100 / 40 heures), pour un salaire de 28'092 en 2012. La recourante faisait en outre 4 heures de ménage par semaine chez K.________, jusqu’en septembre 2012, pour un salaire de 4'498 fr. par année, salaire qui était également celui qu’elle aurait perçu sans l’atteinte à la santé selon le questionnaire pour employeur du 5 novembre 2012. Comparé à un nombre d’heures de travail usuel en entreprise de 41.7 heures en 2012, la recourante travaillait pour K.________ au taux d’activité de 9.6 %. Ainsi, avant l’atteinte à la santé, la recourante travaillait à 47.10 %, pour un salaire annuel de 32'590 fr. selon les données des employeurs. L’intimé s’en était du reste rendu compte, puisqu’il a demandé à la recourante le 5 janvier 2015 d’expliquer pour quelle raison elle avait indiqué sur le formulaire de détermination du statut du 10 octobre 2012 qu’elle travaillerait à 70 % sans atteinte à la santé, alors que son taux d’activité était de 37.5 % L.________ SA et de 10 % pour K.________ avant l’incapacité de travail. La recourante a répondu avoir travaillé 20 heures par semaine chez L.________ SA de 2002 à 2008. De 2004 à 2008, elle faisait en outre le ménage du bureau de K.________ chez L.________ SA pour l’équivalent d’un 10 %. Parallèlement, elle travaillait comme femme de ménage chez K.________ à raison d’environ 4 heures par semaine, soit également 10 %. Ces trois activités cumulées correspondent à un taux d’activité de 70 %. La recourante a précisé que pour des raisons économiques, L.________ SA l’avait contrainte à travailler une heure de moins par jour et lui avait enlevé la charge du bureau de K.________, ce qu’elle ne souhaitait pas. Comme sa santé se dégradait déjà, elle n’avait toutefois pas cherché une autre activité pour compenser cette perte d’activité. Il ressort en effet d’un courrier datant vraisemblablement de 2007 de L.________ SA à la recourante que, dès le 1 er décembre 2007 son taux de travail effectif quotidien serait réduit et que dès le 1 er janvier 2008, elle n’aurait plus à effectuer le nettoyage du bureau de K.________. Bien qu’il ne soit précisé nulle part au dossier à partir de quand la recourante a effectué les heures de ménage en privé chez K.________, il peut être retenu au degré de la vraisemblance prépondérante que la recourante aurait bien travaillé à 70 % sans atteinte à la santé, ce que l’intimé a du reste admis en confirmant le statut d’active à 70 %. L’intimé ne pouvait dès lors se fonder sur un revenu sans invalidité correspondant à un taux d’activité inférieur. La recourante expose qu’elle présentait déjà des troubles avec répercussion sur la capacité de travail depuis 2008, de sorte que le revenu sans invalidité devrait être calculé en fonction des revenus perçus antérieurement, à savoir en 2007. La recourante ne peut être suivie dans son raisonnement. Bien qu’il soit entendu que lorsque L.________ SA a réduit son taux d’activité, c’est en raison de son état de santé que la recourante n’a pas cherché une activité complémentaire, il n’y a pas au dossier de pièce qui démontrerait que les salaires perçus par la recourante postérieurement à 2007 auraient été fixés en tenant compte de l’atteinte à sa santé. Les salaires indiqués par les deux employeurs correspondaient à son rendement et à ce qu’elle aurait gagné sans atteinte à la santé au taux de 47.10 %. On ne voit dès lors pas de motif de s’en écarter. Il convient dès lors d’extrapoler le revenu annuel de 32'590 fr. correspondant au taux d’activité de 47.10 % pour la même activité exercée à 70 %. Dans cette mesure, la recourante aurait gagné, en 2012, 48'435 fr. 20. Indexé à 2014, ce montant est de 49'164 fr. 40. Conformément à la formule décrite au considérant 8 supra, le degré d’invalidité de la recourante pour la part active se détermine comme suit : (49'164 fr. 40 [revenu sans invalidité à 70 %] – 14'016 fr. 80 [revenu d’invalide]) / 49'164 fr. 40 x 70 %, soit un degré d’invalidité de 50 %. e) Afin de déterminer le degré d’invalidité présenté par la recourante dans la tenue de son ménage, l’intimé a réalisé une enquête ménagère à son domicile le 24 mars 2015 et retenu un empêchement de 8.8 %, soit 2.64 % sur une part ménagère de 30 %. Le rapport d’enquête du 26 mars 2015 peut se voir conférer pleine valeur probante selon les réquisits jurisprudentiels (cf. supra consid. 3b) et n’est du reste pas remise en cause par la recourante. f) En définitive, il convient de retenir qu’au-delà du 31 décembre 2014, la recourante présente un degré d’invalidité de 52.64 % lui donnant droit à une demi-rente d’invalidité.</w:t>
      </w:r>
    </w:p>
    <w:p>
      <w:r>
        <w:rPr>
          <w:b/>
        </w:rPr>
        <w:t>E. 9</w:t>
      </w:r>
    </w:p>
    <w:p>
      <w:r>
        <w:t>Au vu de ce qui précède, le recours doit être admis et la décision attaquée réformée en ce sens que la rente entière d’invalidité octroyée à la recourante dès le 1 er mai 2013 est réduite à une demi-rente dès le 1 er janvier 2015.</w:t>
      </w:r>
    </w:p>
    <w:p>
      <w:r>
        <w:rPr>
          <w:b/>
        </w:rPr>
        <w:t>E. 10</w:t>
      </w:r>
    </w:p>
    <w:p>
      <w:r>
        <w:t>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La recourante, qui obtient gain de cause avec l'assistance d'un mandataire professionnel, a droit à des dépens (art. 61 let. g LPGA), qu'il convient d'arrêter à 2'000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