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202/11 - 308/2012 vom 17. Juli 2012</w:t>
      </w:r>
    </w:p>
    <w:p>
      <w:r>
        <w:t>VD Tribunal cantonal, 2012-07-17, FR</w:t>
      </w:r>
    </w:p>
    <w:p>
      <w:r>
        <w:rPr>
          <w:b/>
        </w:rPr>
        <w:t xml:space="preserve">Quelle: </w:t>
      </w:r>
      <w:r>
        <w:t>https://mcp.opencaselaw.ch/entscheid/vd_findinfo_AI_202_11_-_308_2012</w:t>
      </w:r>
    </w:p>
    <w:p>
      <w:r>
        <w:t>FR: VD_FINDINFO AI 202/11 - 308/2012 du 17 juillet 2012</w:t>
      </w:r>
    </w:p>
    <w:p>
      <w:r>
        <w:t>IT: VD_FINDINFO AI 202/11 - 308/2012 del 17 luglio 2012</w:t>
      </w:r>
    </w:p>
    <w:p>
      <w:pPr>
        <w:pStyle w:val="Heading2"/>
      </w:pPr>
      <w:r>
        <w:t>Regeste</w:t>
      </w:r>
    </w:p>
    <w:p>
      <w:r>
        <w:t>AI{ASSURANCE}, RENTE D'INVALIDITÉ, ÉVALUATION DE L'INVALIDITÉ | 28 LAI, 4 LAI, 16 LPGA, 6 LPGA, 7 LPGA, 8 LPGA</w:t>
      </w:r>
    </w:p>
    <w:p>
      <w:pPr>
        <w:pStyle w:val="Heading2"/>
      </w:pPr>
      <w:r>
        <w:t>Erwägungen</w:t>
      </w:r>
    </w:p>
    <w:p>
      <w:r>
        <w:rPr>
          <w:b/>
        </w:rPr>
        <w:t>E. 5</w:t>
      </w:r>
    </w:p>
    <w:p>
      <w:r>
        <w:t>Cela étant, il reste à examiner le préjudice économique du recourant, ce dernier critiquant, d'une part, le montant du gain de valide arrêté par l'OAI, et, d'autre part, l'abattement opéré par l'intimé sur le revenu d'invalide.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Le revenu hypothétique de la personne valide se détermine en établissant au degré de la vraisemblance prépondérante ce qu'elle aurait effectivement pu réaliser au moment déterminant si elle était en bonne santé (ATF 134 V 322 consid. 4.1; ATF 129 V 222 consid. 4.3.1;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Bundesgesetz über den Allgemeinen Teil des Sozialversicherungsrecht (ASTG), in : SBVR, Soziale Sicherheit, 2 ème éd., Bâle/Genève/Munich 2007, n° 25 p. 248). La réduction n'est pas automatique, mais doit intervenir seulement lorsqu'il existe, dans le cas d'espèce, des motifs qui indiquent que l'assuré ne peut pas réaliser, dans le cadre de sa capacité de travail résiduelle, le salaire découlant des données statistiques (cf.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(cf. ATF 126 V 75 consid. 5a/cc).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(cf. ATF 137 V 71 consid. 5.2; cf. ATF 126 V 75 consid. 5b/bb). Le pouvoir d'examen du juge cantonal des assurances sociales s'étend à l'opportunité de la décision administrative et n'est pas limité à la violation du droit, y compris l'excès et l'abus du pouvoir d'appréciation (cf.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(cf. ATF 137 V 71 consid. 5.2). Enfin, il y a lieu de rappeler que de jurisprudence constante, la déduction globale maximale est limitée à 25% (cf. notamment TF 9C_692/2010 du 31 janvier 2011 consid. 3.5). b) En l’espèce, l’année de comparaison des revenus est 2009, année de l’ouverture du droit éventuel à la rente (ATF 128 V 174 consid. 4a), soit un an après le début, en mars 2008, de l’incapacité de travail durable (cf. art. 28 al. 1 let. b LAI). Cela étant, dès lors que le recourant a déposé sa demande de prestations AI en décembre 2008, l'ouverture du droit à la rente se trouve reporté au 1 er juin 2009, conformément à l’art. 29 al. 1 LAI (cf. consid. 3a supra). c) S'agissant du revenu sans invalidité, l'OAI s'est fondé sur un montant de 71'249 fr. que le recourant conteste, se prévalant pour sa part d'un gain de valide de 69'784 fr. Le Tribunal ne voit pas de motif pertinent commandant de s'écarter du revenu sans invalidité de 71'249 fr. retenu par l'OAI. Ce montant repose en effet sur le salaire horaire de 30 fr. 50 indiqué par l'entreprise V.________ Constructions pour l'année 2009 (cf. courrier du 2 juillet 2010). Dans son courrier du 31 mars 2011 à l'assuré, l'office a en outre indiqué la manière dont il avait procédé pour calculer le revenu en question (30.50 x 41.50 x 4.33 = 5'480.69 x 13). Or, le recourant ne soulève aucun grief concret à l'encontre de ce calcul. Dans ces conditions, il y a dès lors lieu de s'en tenir au gain de valide de 71'249 fr. retenu par l'intimé. Au demeurant, il n'est pas défavorable pour le recourant de retenir un revenu sans invalidité plus élevé que celui dont il se prévaut. d) En ce qui concerne le revenu d'invalide, la décision attaquée se base à juste titre sur les salaires tels qu'ils ressortent de l'ESS 2008. En l'occurrence, le salaire de référence est celui auquel pouvaient prétendre en 2008 les hommes effectuant des activités simples et répétitives dans le secteur privé, à savoir 4'806 fr. par mois, part au treizième salaire comprise (ESS 2008, TA1, niveau de qualification 4). Ce salaire représente – compte tenu du fait que les salaires bruts standardisés se basent sur un horaire de travail de quarante heures, soit une durée hebdomadaire inférieure à celle prévalant dans les entreprises en 2008 (41,6 heures [La Vie économique 6-2011, p. 94, tableau B9.2]) – un revenu d'invalide de 4'995 fr. 24 par mois (4'998 fr. 24 x 41,6 : 40 heures), soit 59'978 fr. 88 par année. Après adaptation de ce chiffre à l’évolution des salaires nominaux de 2008 à 2009 (+ 2.10%; La Vie économique, 6-2011. p. 95 tableau B10.2), on obtient un revenu annuel de 61'238 fr. 436. Compte tenu d’un taux d’activité de 50% dans une activité adaptée, le salaire hypothétique est dès lors de 30'619 fr. 218. A ce salaire, il faut encore appliquer un facteur de réduction que l'intimé a fixé en l'espèce à 5%, eu égard au taux d'occupation réduit (50%) de l'assuré. Au vu des circonstances concrètes du cas particulier, la Cour de céans ne saurait toutefois s'en tenir à cette appréciation. Il apparaît, certes, que ni l'âge de l'assuré (45 ans au moment de la décision entreprise), ni ses années de service, ni encore sa nationalité ou ses conditions de séjour en Suisse (autorisation d'établissement) ne sauraient jouer en sa défaveur sur le marché du travail. En revanche, force est de constater qu'outre son taux d'activité partiel, le recourant présente également d'importantes limitations fonctionnelles qui sont sans conteste de nature à influer sur ses perspectives salariales (étant relevé que si ces circonstances liées au handicap peuvent être prises en compte à l'égard du recourant qui présente une capacité de travail de 50% dans une activité adaptée [cf. consid. 4b/bb supra], tel n'aurait en principe pas pu être le cas dans l'hypothèse d'une pleine capacité de travail avec une diminution de rendement de 50% [cf. TF 8C_585/2011 du 5 avril 2012 consid. 3.3]). Ces éléments sont susceptibles de constituer un désavantage par rapport à des travailleurs jouissant d'une pleine capacité de travail et pouvant être engagés comme tels. A cela s'ajoutent, dans une certaine mesure, les difficultés liées à la très mauvaise pratique du français et à l'illettrisme, respectivement à l'analphabétisme de l'assuré aussi bien en français que dans sa langue natale (cf. rapport du Dr S.________ du 29 décembre 2008; cf. courrier du Centre social régional de l'[...] du 28 mars 2011), circonstances en raison desquelles il ne pourra exploiter sa capacité résiduelle de travail qu'avec des chances de gain inférieures à la moyenne (cf. sur la prise en compte de l'illettrisme : TF I 612/06 du 23 juillet 2007 consid. 4). Cela étant, il convient raisonnablement d'admettre que l'interdépendance de ces différents facteurs personnels et professionnels peut contribuer à désavantager l'assuré au moment d'un éventuel engagement. Seules des concessions salariales relativement importantes pourront à l'évidence compenser cet état de fait et lui permettre d'être compétitif sur le marché du travail. Dès lors, il apparaît que le taux d'abattement de 5% retenu par l'OAI s'avère bien trop modeste et qu'un facteur de réduction de 10% au minimum s'avère plus judicieux en l'occurrence. Il s'ensuit un revenu avec invalidité de 27'557 fr. 296. e) Après comparaison du revenu d'invalide (27'557 fr. 296) avec celui sans invalidité (71'249 fr.), il résulte une perte de gain de 43'691 fr. 704 correspondant à un degré d’invalidité de 61.322% (43'691 fr. 704 / 71'249 fr. x 100), lequel, conformément à la jurisprudence, (ATF 130 V 121 consid. 3.2), doit être arrondi à 61%. Supérieur à 60% mais inférieur à 70%, ce taux ouvre le droit à un trois-quarts de rente AI (cf. consid. 3a supra).</w:t>
      </w:r>
    </w:p>
    <w:p>
      <w:r>
        <w:rPr>
          <w:b/>
        </w:rPr>
        <w:t>E. 6</w:t>
      </w:r>
    </w:p>
    <w:p>
      <w:r>
        <w:t>a) Il résulte de ce qui précède que le recours doit être admis, et la décision attaquée réformée, en ce sens que le recourant a droit à un trois-quarts de rente d'invalidité depuis le 1 er juin 2009.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Le recourant, qui obtient gain de cause avec l'assistance d'un mandataire professionnel, a droit à des dépens (art. 61 let. g LPGA), qu'il convient d'arrêter à 2'500 fr. à la charge de l'OAI, qui succombe, cette somme couvrant celle revenant à l'avocat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