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191/18 - 52/2020 vom 17. Februar 2020</w:t>
      </w:r>
    </w:p>
    <w:p>
      <w:r>
        <w:t>VD Tribunal cantonal, 2020-02-17, FR</w:t>
      </w:r>
    </w:p>
    <w:p>
      <w:r>
        <w:rPr>
          <w:b/>
        </w:rPr>
        <w:t xml:space="preserve">Quelle: </w:t>
      </w:r>
      <w:r>
        <w:t>https://mcp.opencaselaw.ch/entscheid/vd_findinfo_AI_191_18_-_52_2020</w:t>
      </w:r>
    </w:p>
    <w:p>
      <w:r>
        <w:t>FR: VD_FINDINFO AI 191/18 - 52/2020 du 17 février 2020</w:t>
      </w:r>
    </w:p>
    <w:p>
      <w:r>
        <w:t>IT: VD_FINDINFO AI 191/18 - 52/2020 del 17 febbraio 2020</w:t>
      </w:r>
    </w:p>
    <w:p>
      <w:pPr>
        <w:pStyle w:val="Heading2"/>
      </w:pPr>
      <w:r>
        <w:t>Regeste</w:t>
      </w:r>
    </w:p>
    <w:p>
      <w:r>
        <w:t>NOTIFICATION IRRÉGULIÈRE, RENTE D'INVALIDITÉ, MÉTHODE MIXTE D'ÉVALUATION, QUALITÉ POUR AGIR ET RECOURIR, FORCE OBLIGATOIRE{SENS GÉNÉRAL}, DROIT D'ÊTRE ENTENDU, MOTIVATION DE LA DÉCISION, RÉCUSATION, EXERCICE DE PLUSIEURS FONCTIONS DANS LA MÊME AFFAIRE, STATUT DE L'ASSURÉ{ASSURANCE SOCIALE}, ÉVALUATION DE L'INCAPACITÉ DE TRAVAIL | 29 al. 2 Cst., 28 LAI, 28a LAI, 29 al. 1 LAI, 16 LPGA, 36 LPGA, 49 al. 3 LPGA, 49 al. 4 LPGA, 73bis RAI</w:t>
      </w:r>
    </w:p>
    <w:p>
      <w:pPr>
        <w:pStyle w:val="Heading2"/>
      </w:pPr>
      <w:r>
        <w:t>Erwägungen</w:t>
      </w:r>
    </w:p>
    <w:p>
      <w:r>
        <w:rPr>
          <w:b/>
        </w:rPr>
        <w:t>E. 17</w:t>
      </w:r>
    </w:p>
    <w:p>
      <w:r>
        <w:t>février 2020 __________________ Composition :               Mme Durussel , présidente Mme Dessaux et M. Piguet, juges Greffière :              Mme Chaboudez ***** Cause pendante entre : P.________ , à [...], recourante, et Office de l'assurance-invalidité pour le canton de Vaud , à Vevey, intimé, ainsi que D.________ , à [...], tiers intéressée, représentée par Me Corinne Monnard Séchaud, avocate à Lausanne. _______________ Art. 28 LAI E n  f a i t  : A. D.________ (ci-après : l’assurée), née en [...] et mère de deux enfants nés en [...] et [...], présente des malformations congénitales multiples. L’Office de l’assurance-invalidité pour le canton de Vaud (ci-après : l’OAI ou l’intimé) lui a octroyé dès 1973 différentes prestations, sous formes notamment de mesures médicales, de moyens auxiliaires, de frais de transport et de formation scolaire spéciale. Après avoir occupé différents postes, l’assurée a été engagée le 1 er octobre 2007 en qualité de [...] auprès du R.________ au taux de 60 %. B. Le 8 février 2017, l’assurée a déposé une nouvelle demande de prestations de l’assurance-invalidité, invoquant qu’elle présentait une incapacité de travail en raison d’une [...]. Au titre des atteintes à sa santé, l’assurée a également indiqué « [...], multiples interventions orthopédiques dont spondylodèse D12-L2, troubles de la vision, polyarthrose, douleurs articulaires et fatigabilité accrue ». A l’appui de sa demande, elle a produit des certificats de la Dre L.________, spécialiste en médecine interne et en rhumatologie, attestant une incapacité de travail de 50 % dès le 22 novembre 2016. Le 8 février 2017 également, l’assurée a fait savoir à l’OAI que, sans atteinte à la santé, elle aurait travaillé à 80 % au plus tard dès février 2016, par nécessité financière et intérêt personnel. Elle a précisé que le salaire net de son conjoint s’élevait à 3'567 fr. 85 par mois. Dans un questionnaire pour l’employeur du 10 février 2017, l’OAI a indiqué que l’assurée travaillait en qualité de [...], à raison de 24h54 par semaine, depuis son engagement le 1 er octobre 2007, son horaire hebdomadaire ayant été réduit à 12h27 depuis le 22 novembre 2016. L’OAI a précisé que le salaire mensuel de l’assurée dès janvier 2017 s’élevait à [...] brut, distribué treize fois l’an, et que l’intéressée était affiliée à la Caisse de pension P.________ (ci-après : la P.________ ou la recourante) pour la prévoyance professionnelle. L’employeur a mentionné que l’assurée souhaitait depuis longtemps augmenter son taux de travail, qu’elle avait d’ailleurs effectué de nombreuses heures supplémentaires durant les dernières années, mais que son état actuel ne le lui permettait plus. Interpellée par l’OAI, la Dre L.________ a retenu dans un rapport du 20 février 2017 les diagnostics de [...] (status après spondylodèse D12 à L2 en 1996), de polyarthrose secondaire (rachis cervical sigmoïde et troubles dégénératifs, dysbalance musculaire, arthrose de la MPC2 droite), de troubles statiques de l’arrière-pied droit douloureux (status après intervention [...] et intervention pour allongement du tendon d’Achille à droite) et de troubles statiques plantaires. La Dre L.________ a attesté une incapacité de travail de 50 % de son taux habituel de 60 %, dès le 22 novembre 2016, pour une durée indéterminée. Au titre des limitations fonctionnelles, la Dre L.________ a indiqué que l’assurée devait éviter les positions prolongées, le port répétitif de charge de plus de 2 kg, le travail avec les bras surélevés et l’utilisation régulière d’une souris, précisant que l’activité habituelle pouvait être exercée à 30 % (50 % du taux contractuel de 60 %) à répartir sur la semaine. La Dre L.________ a préconisé du repos, le port d’une collerette cervicale, de la physiothérapie ainsi qu’une adaptation ergonomique du poste de travail. Après avoir précisé qu’elle avait déjà été consultée par l’assurée de 2005 à 2012, la Dre L.________ s’est encore exprimée en ces termes : « Depuis qu’elle a repris contact avec moi, elle se plaint de très fortes douleurs cervico-dorsales gauches avec paresthésies du membre supérieur gauche, de douleurs lombaires et de douleurs à la MCP [métacarpo-phalangienne] II à droite. Le bilan effectué par [la] Dr Y.________ a permis d’exclure une atteinte rhumatologique inflammatoire. Malgré la physiothérapie effectuée régulièrement, les douleurs persistent. La douleur est mécanique. La patiente travaille à 60 % et est mère de deux enfants de 6 et 10 ans. La médication comprend [du] Condrosulf, ViDe-3 10 gouttes, Mydocalm mite qui l’assomme, Irfen 400 3x/jour qui soulage partiellement, moins que [le] Panadol. Prise de Citalopram 10 mg depuis longtemps. Dans l’anamnèse systématique, relevons une fatigue importante, des troubles du sommeil aussi attribués aux douleurs. La patiente est épuisée. […] Madame D.________ présente une problématique ancienne, status après spondylodèse. Elle a surmonté ses difficultés pendant de très nombreuses années, mais est actuellement totalement épuisée. L’arrêt de travail d’abord à 50% de son 60% a entraîné une diminution des douleurs. Elle peut se rendre à [...] deux fois par semaine. Elle a repris contact avec [le] Dr T.________, médecin-psychiatre à [...], qui a augmenté le Citalopram à</w:t>
      </w:r>
    </w:p>
    <w:p>
      <w:r>
        <w:rPr>
          <w:b/>
        </w:rPr>
        <w:t>E. 20</w:t>
      </w:r>
    </w:p>
    <w:p>
      <w:r>
        <w:t>ad art. 36 LPGA). Les motifs de récusation au sens de l’art. 36 LPGA correspondent à ceux de l’art. 10 PA (loi fédérale du 20 décembre 1968 sur la procédure administrative ; RS 172.021), applicable à titre subsidiaire selon l’art. 55 al. 1 LPGA. En font partie un intérêt personnel au jugement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et réf. citées). b) Dans sa circulaire sur la procédure dans l’assurance-invalidité (ci-après : CPAI), l’Office fédéral des assurances sociales (OFAS) prévoit au chiffre 4029 que si les personnes qui traitent une demande de prestations présentent un risque de partialité, comme par exemple en cas de demande déposée par un collaborateur de l’office AI lui-même, cette demande est transmise pour traitement à un autre office AI, avec l’accord de l’assuré ; en cas de doute, l’OFAS tranche (art. 36 LPGA) ; la décision est rendue par l’office AI du canton de domicile. c) Contrairement aux affirmations de l’OAI, la Cour de céans est compétente pour se prononcer sur l’existence ou non d’un motif de récusation en l’espèce. En effet, la procédure de l’art. 36 al. 2 LPGA ne s’applique que dans la mesure où la question de la récusation est soulevée avant que ne soit rendue une décision susceptible d’être attaquée par la voie judiciaire (Dupont in : Dupont/Moser-Szeless [éd.], op. cit., n os 5 et 22 ad art. 36 LPGA ; Ueli Kieser, ATSG-Kommentar, 3 e éd., Zurich/Bâle/Genève 2015, n o</w:t>
      </w:r>
    </w:p>
    <w:p>
      <w:r>
        <w:rPr>
          <w:b/>
        </w:rPr>
        <w:t>E. 22</w:t>
      </w:r>
    </w:p>
    <w:p>
      <w:r>
        <w:t>ad art. 36 LPGA). Dans la mesure où la P.________ n’a fait valoir un tel motif qu’au stade de son recours, il appartient à la Cour de céans de se prononcer sur cette question. d) L’OAI soutient que l’invocation de ce grief pourrait être considérée comme tardive. La P.________ explique qu’elle n’a pu se rendre compte du motif de récusation qu’après avoir eu connaissance, courant mai 2018, que l’assurée était directement informée des courriers entre l’institution de prévoyance et l’OAI. De ce point de vue, on peut effectivement admettre que l’invocation du grief de récusation au stade du recours n’était pas tardive, étant rappelé que la décision attaquée a été rendue le 4 mai 2018. Or, dans son argumentation, la P.________ estime également que tous les collaborateurs ainsi que la direction de l’OAI n’étaient pas habilités à traiter la demande de prestations de l’assurée pour des raisons de prévention et que celle-ci aurait dû être transmise à un autre office AI. Sous cet angle, on pourrait reprocher à la P.________ de ne pas avoir invoqué ce grief plus tôt. La recourante a en effet eu connaissance du traitement de la demande de prestations de l’assurée par l’office AI du canton de Vaud à réception du projet de décision du 16 février 2018 et aurait pu faire valoir le motif de récusation dans le délai qui lui avait alors été imparti pour se déterminer. Quoi qu’il en soit, il n’est pas nécessaire d’examiner cette question plus avant puisque, comme cela va être démontré ci-après, il n’y a pas lieu de retenir de motif de prévention dans le cas d’espèce. e) Il convient dans un premier temps d’examiner la demande de récusation en tant qu’elle vise l’OAI dans son entier. aa) Comme mentionné ci-dessus, la récusation d’une autorité en tant que telle n’est en principe pas possible. En particulier, le fait que l’autorité soit l’employeur de l’assuré ne représente en principe pas un motif de prévention. Il en va à ce sujet de même pour les autorités qui, à l’égard de leurs employés, agissent comme employeur et peuvent également être chargées d’autres tâches administratives spécifiques (TFA U 302/05 du 30 août 2006 consid. 4.4 et référence citée). Dans cet arrêt, qui concernait un assuré employé par une compagnie d’assurances qui était en même temps son assureur-accidents, le Tribunal fédéral a évoqué qu’un devoir de récusation de l’employeur pourrait exister dans des cas tout à fait extraordinaires. Il a cependant précisé que cela nécessitait d’être en présence de conditions particulières qualifiées, ce qui n’était pas le cas du seul fait que l’autorité avait également le statut d’employeur (TFA U 302/05 précité consid. 4.5). En l’occurrence, la P.________ soutient que l’OAI aurait dû se récuser, mais sans préciser quelles circonstances particulières qualifiées permettraient de conclure à une prévention de cette autorité en tant que telle. A cet égard, la référence au chiffre 4029 CPAI ne lui est d’aucun secours. Cette directive s’appuie en effet uniquement sur la relation employeur-employé entre l’OAI et un assuré pour justifier de transmettre le traitement de la demande à un autre office AI, en cas d’accord de l’assuré. Or, selon la jurisprudence, le seul fait que l’autorité soit également l’employeur de l’assuré ne suffit pas pour pouvoir considérer que celle-ci doive se récuser. bb) Se pose la question de savoir si un motif de récusation pourrait être retenu à l’égard de l’ensemble du personnel de l’OAI. A nouveau, le fait que D.________ soit en même temps employée et assurée de l’OAI n’est pas un motif suffisant pour conclure à la prévention de l’ensemble du personnel de cette institution. Sur ce point également, la recourante n’explique pas pour quelles raisons une prévention de l’ensemble des collaborateurs de l’OAI devrait être retenue. On peut à ce propos relever que cette institution comporte plus de 360 collaborateurs (cf. site internet www.aivd.ch), si bien qu’il n’est pas objectivement concevable que chacun de ceux-ci entretienne une relation d’amitié avec l’assurée propre à douter de son impartialité. cc) Dans ses écritures, la recourante invoque par ailleurs qu’elle a eu connaissance de plusieurs cas de demandes de prestations AI déposées par des collaborateurs de l’OAI, qui avaient été transmises pour traitement à un autre office AI. L’existence de motifs de prévention devant être examinée selon les circonstances concrètes de chaque cas particulier, il n’est pas possible pour la P.________ de tirer un quelconque argument de ces autres cas. On peut au demeurant relever que la pratique consistant pour un office AI à se dessaisir du traitement d’une demande de prestations au profit d’un autre office AI a été jugée contraire au droit, compte tenu des règles légales de compétence, auxquelles il n’est pas possible de déroger (cf. à ce sujet, parmi d’autres, TC FR 608 2017 87 du 27 juin 2017 et TA BE 200.2015.118.AI du 23 décembre 2015). Dès lors, la conclusion de la recourante tendant au renvoi du dossier à l’OAI afin qu’il transmette la demande de prestations pour traitement à un autre office AI aurait dans tous les cas dû être rejetée. f) La P.________ considère en outre que K.________, directeur adjoint de l’OAI, aurait dû se récuser. Elle conclut que celui-ci est proche de l’assurée, du fait qu’il l’a directement informée du courrier envoyé par la P.________ le 8 mai 2018. Comme le relève l’OAI dans ses déterminations des 6 août et 24 septembre 2018, il n’y avait toutefois rien d’étonnant à ce que l’assurée ait été informée de l’existence de ce courrier puisque dans le cadre de la procédure d’audition, les assurés reçoivent toujours une copie de la réponse de l’OAI aux objections de leur institution de prévoyance professionnelle. Dans la mesure où le courrier de la recourante du 8 mai 2018 portait sur le projet de décision du 16 février 2018, il est cohérent – et conforme au droit d’être entendu – que l’OAI ait fait parvenir à l’assurée une copie de la réponse qu’elle a donnée à la P.________, d’autant plus qu’elle lui transmettait également des pièces du dossier de l’assurée. La recourante estime en outre que la rapidité de traitement du dossier ainsi que la poursuite du processus d’établissement de la décision, alors qu’elle avait demandé à consulter le dossier AI complet, sont des indices de partialité. Ainsi que cela a déjà été mentionné ci-dessus (consid. 3e), la P.________ n’a pas réagi dans le délai qui lui avait été imparti à réception du projet de décision du 16 février 2018 et, dans sa demande de consultation du 27 mars 2018, elle n’a sollicité aucune prolongation, respectivement restitution du délai. On ne voit dès lors pas pourquoi l’OAI aurait dû retarder le processus d’établissement de la décision. Quant au traitement de la demande de l’assurée, il faut constater que cette demande a été déposée le 8 février 2017 et la (première) décision rendue le 4 mai 2018, de sorte que le traitement de la demande a quand même pris une année et presque trois mois. Il n’apparaît pas, et la recourante ne le soutient d’ailleurs pas, que l’OAI aurait précipité le traitement de cette demande en omettant de procéder à des démarches d’instruction qui auraient pourtant été indiquées. On ne saurait dès lors conclure à de la prévention sur la base de ces éléments. De manière générale, on ne voit pas quelles circonstances permettent de conclure à une prévention de la part de M. K.________ à l’encontre de l’assurée. S’ils travaillent pour la même institution, il faut constater qu’ils sont actifs dans deux secteurs distincts et il n’existe pas au dossier d’indice en faveur d’une relation d’amitié plutôt que de rapports professionnels. Il ressort au contraire de la teneur des courriels échangés entre l’assurée et M. K.________ en novembre 2013, en lien avec sa demande d’adaptation du poste de travail, qu’ils ne se connaissaient pas particulièrement bien (pièces 155 et 156 du dossier AI). Le comportement de M. K.________ dans le cadre du traitement de la demande de prestations ne démontre pas non plus de prévention de sa part. Celui-ci a en effet recueilli les rapports médicaux auprès des médecins traitants de l’assurée, puis fait réaliser une enquête économique sur le ménage compte tenu de son statut d’active et ménagère ; il a ensuite transmis le dossier à une juriste qui a repris les conclusions des documents précités et calculé le taux d’invalidité, constatant que l’assurée avait droit à un quart de rente à partir du 1 er novembre 2017 puis à une demi-rente dès le 1 er janvier 2018 (cf. avis juriste du 16 février 2018). C’est sur la base de ce document que M. K.________ a ensuite établi le projet de décision. La P.________ estime que le dossier de l’assurée devait être soumis au SMR, [...]. On ne saurait toutefois voir un signe de partialité de la part du directeur adjoint dans le fait de ne pas avoir requis un avis médical auprès du SMR. Comme mentionné par l’OAI, la consultation du SMR est une faculté et non une obligation (art. 59 al. 2bis LAI). En l’occurrence, il faut constater que les rapports médicaux au dossier sont concordants et que la capacité de travail retenue correspond à celle effectivement exercée par l’assurée, qu’elle a progressivement augmenté jusqu’à la limite supportable (rapport médical de la Dre L.________ du 1 er novembre 2017). La situation était dès lors suffisamment claire pour qu’il n’apparaisse pas nécessaire de requérir l’avis du SMR. g) Au vu de ce qui précède, il faut conclure qu’il n’est pas possible de retenir de manière objective un motif de récusation à l’encontre de l’OAI, de ses collaborateurs ou de M. K.________. 5. Il convient maintenant d’examiner les décisions attaquées d’un point de vue matériel.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op. cit.,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l'invalidité totale de la personne assurée résultait de l'addition des taux d'invalidité pondérés dans les deux domaines (art. 27bis RAI dans sa teneur jusqu’au 31 décembre 2017 ; ATF 137 V 334 ; 131 V 51 consid. 5.1.2). ee)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La recourante conteste la date de survenance de l’incapacité de travail partielle de l’assurée, soutenant que celle-ci était déjà présente avant son emploi auprès du SMR, voire avant son entrée dans la vie professionnelle.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Comme déjà mentionné (cf. consid. 3d/bb supra), il n’y a pas lieu dans le cadre du présent litige d’examiner si l’assurée a présenté une incapacité de travail antérieurement à août 2016 puisqu’un éventuel droit à la rente pouvait s’ouvrir au plus tôt en août 2017, à savoir six mois après le dépôt de sa demande de prestations en février 2017 (art. 29 al. 1 LAI). En outre, dans la mesure où les médecins de l’assurée ont attesté une incapacité de travail partielle à compter du 22 novembre 2016, l’OAI était légitimé à prendre cette date en compte pour le début de l’incapacité de travail de longue durée au sens de l’art. 28 al. 1 let. b LAI. b) La recourante conteste également l’ampleur de l’incapacité de travail retenue, notamment au motif que le dossier n’a pas été soumis au SMR. Il faut constater que la P.________ n’avance aucun élément propre à remettre en cause la valeur probante des rapports médicaux figurant au dossier, sur lesquels l’OAI s’est fondé pour fixer la capacité de travail exigible (rapport de la Dre L.________ du 1 er novembre 2017, rapport du Dr T.________ du 22 novembre 2017). La capacité de travail retenue ne correspond par ailleurs pas à une capacité théorique médicalement exigible, mais a été fixée sur la base du taux d’activité que l’assurée a été en mesure de déployer dans son activité habituelle, compte tenu de son état de fatigue et de ses douleurs. Dès juin 2017, elle a progressivement augmenté son taux de présence et son médecin traitant a pu constater qu’en travaillant à 70 % (de son 60 %) en septembre et octobre 2017, l’assurée avait travaillé au-dessus de ses forces, si bien que seule une capacité de travail de 65 % de son 60 % était possible. Au vu de ce qui précède, il n’apparaissait pas nécessaire de consulter le SMR comme déjà mentionné (consid. 4f) et l’OAI était légitimé à retenir que l’assurée présente une incapacité de travail à hauteur de 60 % d’un plein temps dans son activité habituelle. Il ressort en outre du rapport d’enquête ménagère que l’assurée présente un empêchement de 20,8 % dans ses activités ménagères. C’est à juste titre que la P.________ ne le conteste pas, faute d’intérêt juridiquement protégé, puisqu’elle n’est liée que par la partie du degré d’invalidité consacrée à l'activité lucrative (ATF 144 V 72 consid. 5.4 et références citées). On peut néanmoins relever que ce taux n’apparaît pas critiquable au vu des conclusions claires et motivées du rapport d’enquête ménagère. c) S’agissant du statut de l’assurée, la recourante reproche à l’OAI d’avoir retenu un pourcentage pour l’activité lucrative supérieur à celui initialement indiqué par l’assurée. aa) Les décisions de l’assurance-invalidité sur le statut d’une personne invalide (pleinement active, partiellement active, sans activité lucrative) sont contraignantes pour les institutions de prévoyance professionnelle qui ont été intégrées à la procédure AI, tant dans le domaine de la prévoyance obligatoire que de la prévoyance plus étendue (ATF 141 V 127 consid. 5.1 ; 129 V 150 consid. 2.5). Le statut de l’affilié dans l’assurance-invalidité peut en effet avoir des incidences sur le calcul d’une éventuelle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(ATF 142 V 75 consid. 6.3.1 ; 129 V 150 consid. 2.3 et 2.5). Il faut, en d'autres termes, procéder à une imputation des prestations de l'assurance-invalidité selon le principe de la concordance des droits ; il n'est pas déterminant, à cet égard, que le règlement de la caisse de pensions ne prévoie pas une telle imputation (ATF 129 V 150 consid. 2.2). En revanche, le statut de l’assuré ne joue pas de rôle pour l’évaluation de l’invalidité par l’institution de prévoyance puisque la prévoyance professionnelle, à la différence de l’assurance-invalidité, n’assure pas, le cas échéant, l’atteinte à la capacité d’accomplir les travaux habituels (ATF 129 V 150 consid. 2.5). Dès lors, même si l’institution de prévoyance reprend – explicitement ou par renvoi – la définition de l’invalidité dans l’assurance-invalidité,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(ATF 144 V 72 consid. 4.2 et 5.4 ; 141 V 127 consid. 5.1 ; 120 V 106 consid. 4b). bb) Il ressort de ce qui précède que le statut de personne active à 85 % retenu par l’OAI n’a pas d’incidence sur l’évaluation de l’invalidité à laquelle devra procéder la P.________. De même, il importe peu que l’OAI ait considéré comme vraisemblable que l’assurée aurait travaillé à 85 % et non plus à 60 % si elle n’avait pas été atteinte dans sa santé (cf. à ce sujet ATF 144 V 72 consid. 5.4 ; TF 9C_403/2015 du 23 septembre 2015 consid. 5.3 et 9C_821/2010 du 7 avril 2011 consid. 4.2). Il faut en outre relever que dans son règlement, la P.________ dispose de sa propre définition de l’invalidité, qui ne correspond pas à celle prévue par le droit de l’assurance-invalidité. Ainsi, selon l’art. 59 de ce règlement, est définitivement invalide l’assuré qui est durablement incapable, ensuite de maladie ou d’accident, de remplir tout ou partie de son emploi ou d’un autre emploi de substitution et dont le salaire est réduit ou supprimé à titre définitif. Or, lorsque l'institution adopte une définition qui ne concorde pas avec celle de l'assurance-invalidité,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références citées). cc) La recourante ne soulève aucun argument, à l’encontre du statut retenu, en lien avec une éventuelle surindemnisation. A noter que dans son règlement, la P.________ a prévu une disposition spécifique à l’art. 40 au sujet de la surindemnisation, laquelle se calcule par rapport au salaire maximum actuel de la classe de la fonction dans laquelle l’assuré est colloqué, y compris les allocations familiales, ce maximum étant réduit proportionnellement en cas d’invalidité partielle. Dans l’hypothèse d’une éventuelle surindemnisation, on voit cependant mal quel intérêt la P.________ pourrait avoir à ce que l’OAI retienne pour l’assurée un statut d’active à 80 % au lieu de 85 %. En effet, avec un statut d’active à 80 %, la part de la rente de l’assurance-invalidité destinée à indemniser l’incapacité de gain – qui seule doit être prise en compte pour la surindemnisation – serait moindre, ce qui signifierait que l’obligation de prester de la recourante serait d’autant plus grande, jusqu’à hauteur du maximum prévu à l’art. 40 de son règlement. Certes, la question peut se poser de savoir si c’est à juste titre que l’OAI s’est écarté des premières déclarations de l’assurée, selon lesquelles elle aurait travaillé à 80 % en l’absence d’atteinte à la santé, pour retenir un statut de 85 % active sur la base de l’enquête ménagère réalisée ultérieurement, sans que ce rapport ne fasse état d’une modification de la situation qui serait intervenue entre-temps. Cette question peut toutefois demeurer indécise puisque, si l’OAI avait retenu un statut d’active à 80 % et ménagère à 20 % comme le requiert la P.________, il faut constater que cela n’aurait eu aucune influence sur le droit à la rente de l’assurée. En effet, en application de l’ancienne méthode de calcul en cas de statut mixte, si l’on compare son revenu sans invalidité pour un taux d’occupation de 80 %, soit [...] fr., avec le revenu d’invalide de [...] fr. correspondant à une capacité de travail exigible de 40 %, on obtient un taux d’invalidité de 50 % pour la part active. Compte tenu d’un statut 80 % active et 20 % ménagère, le handicap pour la part active se monte à 40 % et celui pour la part ménagère à 4,16 % (20,8 % x 20 %), soit un degré d’invalidité de 44,16 %, donnant droit à un quart de rente. Selon la nouvelle méthode de calcul, entrée en vigueur au 1 er janvier 2018, le degré d’invalidité pour la part active se monte à 60 % et celui pour la part ménagère à 20,8 %, de sorte que ramenés à une proportion 80 % active et 20 % ménagère, on obtient un handicap respectivement de 48 % et 4,16 %, soit un degré d’invalidité de 52,16 % donnant droit à une demi-rente d’invalidité (cf. également la feuille de calcul du 16 février 2018). d) Les motifs soulevés par la recourante n’exigent par conséquent pas de modifier, respectivement d’annuler les décisions attaquées. 7. Les éléments au dossier permettent de statuer en toute connaissance de cause, de sorte qu’il n’est pas nécessaire d’ordonner la production du dossier de la recourante auprès de la P.________.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De même, il ne se justifie pas d’intégrer la Fondation de prévoyance E.________ à la présente procédure, pour les raisons exposées ci-dessus au consid. 3b. 8. a) Le recours doit par conséquent être rejeté et les décisions attaquées confirmées.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à la recourante, celle-ci n’obtenant pas gain de cause (art. 61 let. g LPGA). D.________ a requis l’allocation de dépens qui peuvent être arrêtés à 2'000 fr., ce montant correspondant à des dépens réduits compte tenu de l’irrecevabilité de ses conclusions reconventionnelles.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