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186/18 - 175/2019 vom 7. Juni 2019</w:t>
      </w:r>
    </w:p>
    <w:p>
      <w:r>
        <w:t>VD Tribunal cantonal, 2019-06-07, FR</w:t>
      </w:r>
    </w:p>
    <w:p>
      <w:r>
        <w:rPr>
          <w:b/>
        </w:rPr>
        <w:t xml:space="preserve">Quelle: </w:t>
      </w:r>
      <w:r>
        <w:t>https://mcp.opencaselaw.ch/entscheid/vd_findinfo_AI_186_18_-_175_2019</w:t>
      </w:r>
    </w:p>
    <w:p>
      <w:r>
        <w:t>FR: VD_FINDINFO AI 186/18 - 175/2019 du 7 juin 2019</w:t>
      </w:r>
    </w:p>
    <w:p>
      <w:r>
        <w:t>IT: VD_FINDINFO AI 186/18 - 175/2019 del 7 giugno 2019</w:t>
      </w:r>
    </w:p>
    <w:p>
      <w:pPr>
        <w:pStyle w:val="Heading2"/>
      </w:pPr>
      <w:r>
        <w:t>Regeste</w:t>
      </w:r>
    </w:p>
    <w:p>
      <w:r>
        <w:t>DEGRÉ DE L'INVALIDITÉ, MESURE D'ORDRE PROFESSIONNEL, MESURE DE RÉADAPTATION{ASSURANCE SOCIALE}, RÉADAPTATION PROFESSIONNELLE{AMIL} | 15 LAI, 16 LAI, 17 LAI, 18 LAI, 18a LAI, 16 LPGA, 6 LPGA, 7 LPGA, 8 LPGA</w:t>
      </w:r>
    </w:p>
    <w:p>
      <w:pPr>
        <w:pStyle w:val="Heading2"/>
      </w:pPr>
      <w:r>
        <w:t>Erwägungen</w:t>
      </w:r>
    </w:p>
    <w:p>
      <w:r>
        <w:rPr>
          <w:b/>
        </w:rPr>
        <w:t>E. 7</w:t>
      </w:r>
    </w:p>
    <w:p>
      <w:r>
        <w:t>Escomptez-vous une augmentation future de la capacité de travail ? Cf point 5.</w:t>
      </w:r>
    </w:p>
    <w:p>
      <w:r>
        <w:rPr>
          <w:b/>
        </w:rPr>
        <w:t>E. 8</w:t>
      </w:r>
    </w:p>
    <w:p>
      <w:r>
        <w:t>Quels sont les traitements et thérapies suivis actuellement ? Médicamenteux.</w:t>
      </w:r>
    </w:p>
    <w:p>
      <w:r>
        <w:rPr>
          <w:b/>
        </w:rPr>
        <w:t>E. 9</w:t>
      </w:r>
    </w:p>
    <w:p>
      <w:r>
        <w:t>Quels en sont les résultats ? En principe, si les limitations sont respectées, l'épilepsie est bien contenue.</w:t>
      </w:r>
    </w:p>
    <w:p>
      <w:r>
        <w:rPr>
          <w:b/>
        </w:rPr>
        <w:t>E. 10</w:t>
      </w:r>
    </w:p>
    <w:p>
      <w:r>
        <w:t>Quels sont les autres traitements et thérapies prévus ? Seul un traitement médicamenteux (anti-épileptique) est prévu.</w:t>
      </w:r>
    </w:p>
    <w:p>
      <w:r>
        <w:rPr>
          <w:b/>
        </w:rPr>
        <w:t>E. 11</w:t>
      </w:r>
    </w:p>
    <w:p>
      <w:r>
        <w:t>Ceux-ci permettront-ils d'augmenter la capacité de travail ? Merci de justifier votre réponse. En l'absence de crise, la capacité de travail pourrait être complète, comme dit plus haut, cependant, il s'agit d'un équilibre fragile et une régularité dans les horaires de travail ainsi que des heures de sommeil suffisantes et régulières sont indispensables outre les limitations habituelles liées à toute épilepsie (exposition à des situations potentiellement dangereuses en cas de crise inopinée). » Par rapport du 28 mars 2017, le Dr  G.________, spécialiste en médecine interne générale, a communiqué l’appréciation suivante à I.________ : « U.________ présente une épilepsie partielle complexe, annoncée bien contrôlée sous "médication". Dès lors, l’incapacité de travail annoncée dès le 17.10.2016 par le médecin traitant, le Dr Q.________, ne reçoit pas d’explications. Nous ne savons même pas s’il a fait une crise d’épilepsie. L’incapacité de travail en cas de crises d’épilepsie peut éventuellement justifier 1 ou 2 jours d’incapacité de travail, le temps de se remettre. Aussi, l’incapacité de travail dès le mois d’octobre 2016 ne reçoit pas d’explications. Il a pu par le passé travailler, apparemment sans trop de difficulté. L’activité professionnelle déployée était compatible avec son épilepsie. En outre, rien n’indique que l’activité d’aide de cuisine/plongeur était incompatible dès le début de la couverture d’assurance. Au total, l’incapacité de travail prescrite par le Dr Q.________ n’est pas soutenue par une affection médicale permettant de retenir des limitations fonctionnelles dans l’activité de plongeur. » Le 10 avril 2017, I.________, a refusé à l’intéressé les indemnités journalières en cas de maladie au motif que l’incapacité de travail totale attestée depuis le 12 octobre 2016 n’était pas justifiée selon l’avis du Dr G.________. C. Par acte du 4 juin 2018, U.________, assisté de Me Karim Hichri d’Inclusion Handicap, a recouru contre la décision précitée auprès de la Cour des assurances sociales du Tribunal cantonal. L’assuré relève que l’OAI considère qu’il peut travailler à plein temps dans une activité adaptée à son état de santé. Or, il allègue que cet état de santé est fragile, indiquant souffrir de crises épileptiques à répétition et aléatoires en fonction des situations (environnement chaud, froid, humide, stressant, sommeil irrégulier) qui se traduisent par des malaises, des difficultés d’élocution et de la jargonophasie, ainsi qu’un ralentissement et obscurcissement de la conscience. Il soutient qu’une incapacité totale de travail à partir du 17 octobre 2016 pour son activité dans le domaine de la restauration, puis de 50 % a été médicalement attestée par le Dr Q.________. Suivant l’avis de ce dernier, il convient de retenir une diminution des performances de 15 à 50 % selon les postes et les positions de travail. Le taux d’abattement de 10 % comme retenu par l’OAI est insuffisant compte tenu des nombreuses limitations fonctionnelles, de la diminution de rendement conséquente et des absences répétées de l’intéressé dues à l’épilepsie partielle complexe avec généralisations secondaires et du fait que les crises épileptiques ne peuvent être évitées malgré une médication adéquate et une compliance avérée. Il soutient que la décision de l’Office ne tient pas compte de la nationalité de l’assuré et de l’absence de qualification. Il conclut que compte tenu de l’ensemble des facteurs, un taux d’abattement d’au moins 20 % est justifié au moins, de sorte que le droit à des mesures de reclassement dans une nouvelle profession est ouvert. Par réponse du 14 juillet 2016, l’OAI a proposé le rejet du recours. Il soutient que la réduction à titre d’abattement de 10 % concerne les restrictions que devra respecter l’activité de l’intéressé. Suivant l’appréciation de l’Office, il n’y a pas lieu de tenir compte d’un pourcentage plus élevé, l’assuré étant de nationalité suisse et ses origines ne l’ayant pas empêché de trouver divers emplois par le passé. Par courrier du 5 septembre 2018, l’assuré a maintenu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l’assurance-invalidité, plus particulièrement à des mesures d'ordre professionnel sous forme de reclassement dans une nouvelle profession et singulièrement sur le taux d’abattement retenu par l’OAI. 3. a) L'art. 8 al. 1 LAI pose le principe de l’octroi, en faveur des assurés invalides ou menacés d’une invalidité, de mesures de réadaptation nécessaires et de nature à rétablir leur capacité de gain, à l’améliorer ou à la maintenir ; les mesures de réadaptation comprennent notamment les mesures d’ordre professionnel au sens des art. 15 à 18 c LAI (art. 8 al. 2 let. b LAI).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FF 2005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139 V 399 consid. 5.1 ; 138 I 205 consid. 3.1). b) Aux termes de l’art. 15 LAI, l’assuré auquel l’invalidité rend difficile le choix d’une profession ou l’exercice de son activité antérieure a droit à l’orientation professionnelle. L’orientation professionnelle doit guider l’assuré vers l’activité dans laquelle il aura le plus de chance de succès, compte tenu de ses dispositions et de ses aptitudes. Parmi les mesures qui peuvent entrer en ligne de compte figurent notamment les entretiens d’orientation, les tests d’aptitude ou encore les stages d’observation en milieu ou hors milieu professionnel (TFA I 552/86 du 27 novembre 1987 consid. 4a in RCC 1988 p. 191).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l’ouverture du droit à une mesure de reclassement professionnel au sens de l’art. 17 LAI est une diminution de la capacité de gain de 20 % environ (ATF 139 V 399 consid. 5.3 ; 124 V 108 consid. 2b ; TF 9C_17/2018 du 17 avril 2018 consid. 2.2). Le droit à une mesure de reclassement est subordonné à l’incapacité de l’assuré à pouvoir reprendre l’exercice de son activité habituelle (TF 9C_413/2008 du 14 novembre 2008 consid. 2.2). Le droit aux mesures de réinsertion préparant à la réadaptation professionnelle et aux mesures d’ordre professionnel prend naissance au plus tôt au moment où l’assuré fait valoir son droit aux prestations conformément à l’art. 29 al. 1 LPGA (art. 10 al. LAI). c)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4. En l’espèce, il n’est pas contesté que le recourant remplit les conditions médicales du droit à l’aide au placement, compte tenu de son handicap spécifique, savoir une épilepsie partielle complexe avec généralisation secondaire, qui limite l’exercice de nombreuses activités en raison, premièrement du risque de crise dans les activités engendrant une perturbation du rythme de veille et de sommeil, une accentuation du stress, des levers prématurés, des changements d'horaires, deuxièmement de l’impossibilité de travailler dans une activité pouvant mettre en danger le recourant ou des tiers dans le cas d’une crise inopinée et troisièmement du fait que les capacités de concentration, compréhension, d'adaptation et de résistance sont limitées les jours post-crises. Il n’est pas davantage contesté que le recourant bénéficie d’une pleine capacité de travail dans une activité adaptée, ce qui a au demeurant été confirmé par le Dr Q.________ au SMR par téléphone du 10 avril 2018. Au demeurant, les appréciations médicales concordantes versées au dossier (Drs F.________ et Q.________, Dresses A.________ et S.________ ; Dr G.________) ne laissent pas à penser que la capacité de travail est plus amplement limitée ou que l’instruction doit être complétée. S’agissant du Dr Q.________, on constate qu’interpellé par le SMR, il a en dernier lieu indiqué à la Dresse A.________ que le recourant bénéficiait d’une capacité de travail entière dans une activité adaptée (cf. avis SMR du 9 avril 2018). Il y a ainsi lieu de confirmer la décision de l’intimé en tant qu’elle concerne l’aspect médical. C’est donc sous l’angle du degré d’invalidité que la question litigieuse doit être résolue. 5.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130 V 343 consid. 3.4 et 128 V 29 consid. 1 ; TF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9C_725/2015 du 5 avril 2016 consid. 4.1).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 TF 9C_363/2016 du 12 décembre 2016 consid. 5.3.1). En présence de circonstances particulières, en particulier lorsque l’assuré a cessé son activité depuis plusieurs années, il est possible de s’écarter du dernier salaire réalisé et de recourir aux données statistiques résultant de l’ESS éditées par l’Office fédéral de la statistique (OFS) (TFA I 636/02 du 15 avril 2003 consid. 4.1). c) Le revenu d’invalide doit être également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([DPT] ; ATF 135 V 297 consid. 5.2 et 129 V 472 consid. 4.2.1 ; TF 9C_843/2015 du 7 avril 2016 consid. 5.2).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9C_326/2018 du 5 octobre 2018 consid. 7.2 ; 9C_633/2017 du 29 décembre 2017 consid. 4.2).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et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5b/bb).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 TF 9C_633/2017 du 29 décembre 2017 consid. 4.2 ; 9C_637/2014 du 6 mai 2015 consid. 4.2). A titre de comparaison, le Tribunal fédéral a appliqué un taux d’abattement de 15 % dans le cas d’un assuré de cinquante-huit ans apte à travailler uniquement à raison de deux à trois blocs d'une heure et demie à deux heures par jour dans une activité légère et adaptée et ayant effectué la majeure partie de sa carrière professionnelle dans un secteur autre que celui dans lequel il disposait de compétences professionnelles (TF 9C_93/2008 du 19 janvier 2009 consid. 7.3). De jurisprudence constante, les activités non qualifiées du domaine de la production et des services sont adaptées aux assurés qui ne peuvent plus accomplir leur ancienne activité parce qu’elle est physiquement trop astreignante pour leur état de santé, mais qui conservent néanmoins une capacité de travail importante dans des travaux légers (TF 9C_458/2018 du 17 octobre 2018 consid. 4.1 ; 8C_766/2017 du 30 juillet 2018 consid. 8.6 ; 9C_633/2017 du 29 décembre 2017 consid. 4.3). Pour ces assurés, ce salaire statistique est suffisamment représentatif de ce qu’ils seraient en mesure de réaliser en tant qu’invalides dès lors qu’il recouvre un large éventail d’activités variées et non qualifiées, n’impliquant pas de formation particulière si ce n’est une mise à jour initiale (ibidem). d) Afin de calculer la perte de gain subie par le recourant dans le cas d’espèce, l’intimé a procédé à une approche théorique en application de la méthode générale de comparaison des revenus. La détermination des revenus avec et sans invalidité, sur la base des statistiques résultant de l’ESS dans les deux cas n’a pas été critiquée par l’instant. Vérifiée d’office, elle doit être confirmée (ESS 2014, TA 1, activités simples et répétitives dans le secteur privé, niveau de qualification 1, indexé de 2014 à 2017 ; horaire de travail ajusté à 41,7 heures, cf. cf. La Vie économique 6/2014, p. 84, table B9.2). Par ailleurs, le taux d’abattement de 10 % appliqué par l’OAI ne semble pas critiquable au vu de la situation de l’intéressé qui a démontré une grande capacité d’adaptation par le passé en exerçant des activités professionnelles diverses. Celui-ci pourra ainsi en particulier utiliser son expérience professionnelle pour compenser les désavantages liés à la nature de ses limitations fonctionnelles. Il n’y a pas lieu de tenir compte de la nationalité du recourant qui est suisse depuis l’année 1999 ni de ses origines et de ses difficultés linguistiques qui ne l’ont pas empêché de trouver plusieurs emplois durant sa carrière. S’agissant de l’absence de formation, elle n’est pas un obstacle pour les activités non qualifiées du domaine de la production et des services, la table de l’Office fédéral de la statistique prenant d’ores et déjà en compte cette question. Le taux d’abattement de 10 % doit ainsi être confirmé, tout comme le revenu avec invalidité retenu par l'intimé. La comparaison du revenu sans invalidité (67'656 fr. 27) et du revenu avec invalidité (60'890 fr. 64) correspond à un degré d’invalidité de 10 %, ce qui ne donne droit ni à une rente d’invalidité ni à des mesures professionnelles. Il s’ensuit que c’est à raison que l’intimé a dénié au recourant tout droit à des prestations de l’assurance-invalidité. 6. a) En conclusion, le recours, mal fondé, doit être rejeté et la décision attaquée confirmée. b) La procédure est onéreuse et la partie dont les conclusions sont rejetées supporte les frais de procédure (art. 69 al. 1 bis LAI et 49 al. 1 LPA-VD, applicable par renvoi des art. 91 et 99 LPA-VD). En l’espèce, compte tenu de l’ampleur de la procédure, les frais de justice doivent être arrêtés à 200 fr. et être mis à la charge du recourant, qui succombe (art. 49 al. 1 LPA-VD). Il n’y a en outre pas lieu d’allouer de dépens, le recourant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