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174/18 - 35/2019 vom 11. Februar 2019</w:t>
      </w:r>
    </w:p>
    <w:p>
      <w:r>
        <w:t>VD Tribunal cantonal, 2019-02-11, FR</w:t>
      </w:r>
    </w:p>
    <w:p>
      <w:r>
        <w:rPr>
          <w:b/>
        </w:rPr>
        <w:t xml:space="preserve">Quelle: </w:t>
      </w:r>
      <w:r>
        <w:t>https://mcp.opencaselaw.ch/entscheid/vd_findinfo_AI_174_18_-_35_2019</w:t>
      </w:r>
    </w:p>
    <w:p>
      <w:r>
        <w:t>FR: VD_FINDINFO AI 174/18 - 35/2019 du 11 février 2019</w:t>
      </w:r>
    </w:p>
    <w:p>
      <w:r>
        <w:t>IT: VD_FINDINFO AI 174/18 - 35/2019 del 11 febbraio 2019</w:t>
      </w:r>
    </w:p>
    <w:p>
      <w:pPr>
        <w:pStyle w:val="Heading2"/>
      </w:pPr>
      <w:r>
        <w:t>Regeste</w:t>
      </w:r>
    </w:p>
    <w:p>
      <w:r>
        <w:t>AFFECTION PSYCHIQUE, TROUBLE SOMATOFORME DOULOUREUX, EXCLUSION{EN GENERAL}, EXPERTISE MÉDICALE, DÉPRESSION | 28 al. 1 LAI, 29 al. 1 LAI, 4 al. 1 LAI, 43 LPGA, 44 LPGA, 6 LPGA, 61 let. c LPGA, 7 LPGA, 8 LPGA</w:t>
      </w:r>
    </w:p>
    <w:p>
      <w:pPr>
        <w:pStyle w:val="Heading2"/>
      </w:pPr>
      <w:r>
        <w:t>Erwägungen</w:t>
      </w:r>
    </w:p>
    <w:p>
      <w:r>
        <w:rPr>
          <w:b/>
        </w:rPr>
        <w:t>E. 7</w:t>
      </w:r>
    </w:p>
    <w:p>
      <w:r>
        <w:t>a) Le juge cantonal qui estime que les faits ne sont pas suffisamment élucidés a en principe le choix entre deux solutions: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soit en particulier le volet psychique du rapport d’expertise de la Clinique E.________ du 22 mars 2017, est partiellement lacunaire (cf. consid. 6c supra ), ce dont l’intimé devait se rendre compte au moment où il a statué. Le dossier ne permet pas à la Cour de céans de se prononcer en connaissance de cause. Il convient par conséquent de renvoyer la cause à cette autorité pour une nouvelle expertise psychiatrique, dès lors que c’est à elle qu’il incombe en premier lieu d’instruire, conformément au principe inquisitoire qui régit la procédure dans le domaine des assurances sociales (art. 43 al. 1 LPGA). La cause étant renvoyée à l’intimé, il est prématuré de se prononcer sur la rente réclamée.</w:t>
      </w:r>
    </w:p>
    <w:p>
      <w:r>
        <w:rPr>
          <w:b/>
        </w:rPr>
        <w:t>E. 8</w:t>
      </w:r>
    </w:p>
    <w:p>
      <w:r>
        <w:t>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l’intimé, qui succombe. c) Le recourant, qui obtient gain de cause avec l’assistance d’un mandataire professionnel, a droit à des dépens, dont le montant droit être déterminé d’après l’importance et la complexité du litige (art. 61 let. g LPGA ; art. 10 et 11 TFJDA [tarif du 28 avril 2015 des frais judiciaires et des dépens en matière administrative ; RSV 173.36.5.1]). En l’espèce, les dépens sont arrêtés à 2'700 fr., TVA comprise, à la charge de l’intimé qui succombe (art. 55 al. 2 et 56 al. 2 LPA-VD). Ils couvrent le montant de la liste des opérations produite par le conseil d’office du recourant en date du 5 décembre 2018, de telle sorte qu’aucune indemnité n’est due au titre de l’assistance judiciaire accordée par décision du 19 février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